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0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6"/>
      </w:tblGrid>
      <w:tr w:rsidR="00FF48E0" w:rsidRPr="00321DC0" w14:paraId="5A3E5D20" w14:textId="77777777" w:rsidTr="7F1B925E">
        <w:trPr>
          <w:trHeight w:val="841"/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F99D0" w14:textId="0B37F0BA" w:rsidR="00FF48E0" w:rsidRPr="005D0C6D" w:rsidRDefault="0029554D" w:rsidP="00FF48E0">
            <w:pPr>
              <w:ind w:right="249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w:drawing>
                <wp:anchor distT="0" distB="0" distL="114300" distR="114300" simplePos="0" relativeHeight="251658242" behindDoc="0" locked="0" layoutInCell="1" allowOverlap="1" wp14:anchorId="43565FA3" wp14:editId="2A2F6430">
                  <wp:simplePos x="0" y="0"/>
                  <wp:positionH relativeFrom="margin">
                    <wp:posOffset>-36627</wp:posOffset>
                  </wp:positionH>
                  <wp:positionV relativeFrom="margin">
                    <wp:posOffset>38100</wp:posOffset>
                  </wp:positionV>
                  <wp:extent cx="2286000" cy="836295"/>
                  <wp:effectExtent l="0" t="0" r="0" b="190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148" r="423"/>
                          <a:stretch/>
                        </pic:blipFill>
                        <pic:spPr bwMode="auto">
                          <a:xfrm>
                            <a:off x="0" y="0"/>
                            <a:ext cx="2286000" cy="836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/>
                <w:noProof/>
                <w:sz w:val="22"/>
              </w:rPr>
              <w:drawing>
                <wp:anchor distT="0" distB="0" distL="114300" distR="114300" simplePos="0" relativeHeight="251658241" behindDoc="1" locked="0" layoutInCell="1" allowOverlap="1" wp14:anchorId="49AB0956" wp14:editId="0F8AF490">
                  <wp:simplePos x="0" y="0"/>
                  <wp:positionH relativeFrom="margin">
                    <wp:posOffset>4836160</wp:posOffset>
                  </wp:positionH>
                  <wp:positionV relativeFrom="margin">
                    <wp:posOffset>36830</wp:posOffset>
                  </wp:positionV>
                  <wp:extent cx="1591310" cy="860425"/>
                  <wp:effectExtent l="0" t="0" r="0" b="3175"/>
                  <wp:wrapSquare wrapText="bothSides"/>
                  <wp:docPr id="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86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D0C6D">
              <w:rPr>
                <w:rFonts w:asciiTheme="minorHAnsi" w:hAnsiTheme="minorHAnsi"/>
                <w:noProof/>
                <w:sz w:val="22"/>
              </w:rPr>
              <w:drawing>
                <wp:anchor distT="0" distB="0" distL="114300" distR="114300" simplePos="0" relativeHeight="251658240" behindDoc="1" locked="0" layoutInCell="1" allowOverlap="1" wp14:anchorId="6F271705" wp14:editId="7970BCAC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967740" cy="899795"/>
                  <wp:effectExtent l="0" t="0" r="3810" b="0"/>
                  <wp:wrapNone/>
                  <wp:docPr id="3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D0C6D">
              <w:rPr>
                <w:rFonts w:asciiTheme="minorHAnsi" w:hAnsiTheme="minorHAnsi"/>
                <w:sz w:val="22"/>
              </w:rPr>
              <w:t xml:space="preserve">                                   </w:t>
            </w:r>
          </w:p>
          <w:p w14:paraId="71BC7A41" w14:textId="77777777" w:rsidR="00F47166" w:rsidRPr="009E7759" w:rsidRDefault="00F47166" w:rsidP="00FF48E0">
            <w:pPr>
              <w:ind w:right="249"/>
              <w:rPr>
                <w:rFonts w:asciiTheme="minorHAnsi" w:hAnsiTheme="minorHAnsi" w:cstheme="minorHAnsi"/>
                <w:noProof/>
                <w:sz w:val="22"/>
                <w:szCs w:val="22"/>
                <w:lang w:eastAsia="fr-BE"/>
              </w:rPr>
            </w:pPr>
          </w:p>
          <w:p w14:paraId="6F8EA85D" w14:textId="5C2FB5BB" w:rsidR="00C00F89" w:rsidRPr="005D0C6D" w:rsidRDefault="00651D75" w:rsidP="00651D75">
            <w:pPr>
              <w:tabs>
                <w:tab w:val="left" w:pos="1680"/>
                <w:tab w:val="left" w:pos="8181"/>
              </w:tabs>
              <w:ind w:left="-1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ab/>
            </w:r>
          </w:p>
          <w:p w14:paraId="2229BBA1" w14:textId="77777777" w:rsidR="005D0C6D" w:rsidRPr="009E7759" w:rsidRDefault="005D0C6D" w:rsidP="00FE1280">
            <w:pPr>
              <w:tabs>
                <w:tab w:val="left" w:pos="8181"/>
              </w:tabs>
              <w:ind w:left="-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7245EFB" w14:textId="77777777" w:rsidR="005D0C6D" w:rsidRPr="009E7759" w:rsidRDefault="005D0C6D" w:rsidP="00FE1280">
            <w:pPr>
              <w:tabs>
                <w:tab w:val="left" w:pos="8181"/>
              </w:tabs>
              <w:ind w:left="-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D3DCC2E" w14:textId="77777777" w:rsidR="005D0C6D" w:rsidRPr="009E7759" w:rsidRDefault="005D0C6D" w:rsidP="00FE1280">
            <w:pPr>
              <w:tabs>
                <w:tab w:val="left" w:pos="8181"/>
              </w:tabs>
              <w:ind w:left="-1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14:paraId="1AECD22C" w14:textId="6628AD7D" w:rsidR="00781D5B" w:rsidRDefault="00781D5B" w:rsidP="00FE1280">
            <w:pPr>
              <w:tabs>
                <w:tab w:val="left" w:pos="8181"/>
              </w:tabs>
              <w:ind w:left="-1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20</w:t>
            </w:r>
            <w:r w:rsidR="00202FD8">
              <w:rPr>
                <w:rFonts w:asciiTheme="minorHAnsi" w:hAnsiTheme="minorHAnsi"/>
                <w:sz w:val="22"/>
              </w:rPr>
              <w:t> </w:t>
            </w:r>
            <w:r>
              <w:rPr>
                <w:rFonts w:asciiTheme="minorHAnsi" w:hAnsiTheme="minorHAnsi"/>
                <w:sz w:val="22"/>
              </w:rPr>
              <w:t>janvier 2022</w:t>
            </w:r>
          </w:p>
          <w:p w14:paraId="01F685CB" w14:textId="3F0E1949" w:rsidR="00FF48E0" w:rsidRPr="005D0C6D" w:rsidRDefault="00FF48E0" w:rsidP="00FE1280">
            <w:pPr>
              <w:tabs>
                <w:tab w:val="left" w:pos="8181"/>
              </w:tabs>
              <w:ind w:left="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Communiqué de presse</w:t>
            </w:r>
          </w:p>
          <w:p w14:paraId="69778008" w14:textId="77777777" w:rsidR="00FF48E0" w:rsidRPr="00202FD8" w:rsidRDefault="00FF48E0" w:rsidP="00FE1280">
            <w:pPr>
              <w:tabs>
                <w:tab w:val="left" w:pos="8181"/>
              </w:tabs>
              <w:ind w:left="-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779118" w14:textId="77777777" w:rsidR="00FF48E0" w:rsidRPr="005D0C6D" w:rsidRDefault="00FF48E0" w:rsidP="00FE1280">
            <w:pPr>
              <w:tabs>
                <w:tab w:val="left" w:pos="8181"/>
              </w:tabs>
              <w:ind w:left="-1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</w:rPr>
              <w:t>Secteur des titres-services</w:t>
            </w:r>
          </w:p>
          <w:p w14:paraId="11C647F2" w14:textId="0E08AB9D" w:rsidR="00882A44" w:rsidRPr="005D0C6D" w:rsidRDefault="00781D5B" w:rsidP="0FB94EC0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36"/>
              </w:rPr>
              <w:t>Un grand nettoyage s</w:t>
            </w:r>
            <w:r w:rsidR="00202FD8">
              <w:rPr>
                <w:rFonts w:asciiTheme="minorHAnsi" w:hAnsiTheme="minorHAnsi"/>
                <w:b/>
                <w:sz w:val="36"/>
              </w:rPr>
              <w:t>’</w:t>
            </w:r>
            <w:r>
              <w:rPr>
                <w:rFonts w:asciiTheme="minorHAnsi" w:hAnsiTheme="minorHAnsi"/>
                <w:b/>
                <w:sz w:val="36"/>
              </w:rPr>
              <w:t>impose</w:t>
            </w:r>
            <w:r w:rsidR="00202FD8">
              <w:rPr>
                <w:rFonts w:asciiTheme="minorHAnsi" w:hAnsiTheme="minorHAnsi"/>
                <w:b/>
                <w:sz w:val="36"/>
              </w:rPr>
              <w:t> </w:t>
            </w:r>
            <w:r>
              <w:rPr>
                <w:rFonts w:asciiTheme="minorHAnsi" w:hAnsiTheme="minorHAnsi"/>
                <w:b/>
                <w:sz w:val="36"/>
              </w:rPr>
              <w:t>!</w:t>
            </w:r>
          </w:p>
          <w:p w14:paraId="4BF11B80" w14:textId="41779A18" w:rsidR="0070518D" w:rsidRPr="00202FD8" w:rsidRDefault="0070518D" w:rsidP="00882A4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64D0B2A" w14:textId="18757848" w:rsidR="00FE661F" w:rsidRPr="0054097D" w:rsidRDefault="402D1604" w:rsidP="7F1B925E">
            <w:pPr>
              <w:ind w:left="57" w:right="46"/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7F1B925E">
              <w:rPr>
                <w:rFonts w:asciiTheme="minorHAnsi" w:hAnsiTheme="minorHAnsi"/>
                <w:b/>
                <w:bCs/>
                <w:sz w:val="22"/>
                <w:szCs w:val="22"/>
              </w:rPr>
              <w:t>Les négociations pour un nouvel accord sectoriel dans le secteur des titres-services sont toujours dans l</w:t>
            </w:r>
            <w:r w:rsidR="00202FD8" w:rsidRPr="7F1B925E">
              <w:rPr>
                <w:rFonts w:asciiTheme="minorHAnsi" w:hAnsiTheme="minorHAnsi"/>
                <w:b/>
                <w:bCs/>
                <w:sz w:val="22"/>
                <w:szCs w:val="22"/>
              </w:rPr>
              <w:t>’</w:t>
            </w:r>
            <w:r w:rsidRPr="7F1B925E">
              <w:rPr>
                <w:rFonts w:asciiTheme="minorHAnsi" w:hAnsiTheme="minorHAnsi"/>
                <w:b/>
                <w:bCs/>
                <w:sz w:val="22"/>
                <w:szCs w:val="22"/>
              </w:rPr>
              <w:t>impasse. Une réunion de la commission paritaire était prévue aujourd</w:t>
            </w:r>
            <w:r w:rsidR="00202FD8" w:rsidRPr="7F1B925E">
              <w:rPr>
                <w:rFonts w:asciiTheme="minorHAnsi" w:hAnsiTheme="minorHAnsi"/>
                <w:b/>
                <w:bCs/>
                <w:sz w:val="22"/>
                <w:szCs w:val="22"/>
              </w:rPr>
              <w:t>’</w:t>
            </w:r>
            <w:r w:rsidRPr="7F1B925E">
              <w:rPr>
                <w:rFonts w:asciiTheme="minorHAnsi" w:hAnsiTheme="minorHAnsi"/>
                <w:b/>
                <w:bCs/>
                <w:sz w:val="22"/>
                <w:szCs w:val="22"/>
              </w:rPr>
              <w:t>hui, mais les employeurs du secteur n</w:t>
            </w:r>
            <w:r w:rsidR="00202FD8" w:rsidRPr="7F1B925E">
              <w:rPr>
                <w:rFonts w:asciiTheme="minorHAnsi" w:hAnsiTheme="minorHAnsi"/>
                <w:b/>
                <w:bCs/>
                <w:sz w:val="22"/>
                <w:szCs w:val="22"/>
              </w:rPr>
              <w:t>’</w:t>
            </w:r>
            <w:r w:rsidRPr="7F1B925E">
              <w:rPr>
                <w:rFonts w:asciiTheme="minorHAnsi" w:hAnsiTheme="minorHAnsi"/>
                <w:b/>
                <w:bCs/>
                <w:sz w:val="22"/>
                <w:szCs w:val="22"/>
              </w:rPr>
              <w:t>étaient pas disposés à trouver une solution et ont brillé par leur absence. Le principal blocage se situe au niveau du remboursement des frais de transport. Tout comme il y a 2</w:t>
            </w:r>
            <w:r w:rsidR="00202FD8" w:rsidRPr="7F1B925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  <w:r w:rsidRPr="7F1B925E">
              <w:rPr>
                <w:rFonts w:asciiTheme="minorHAnsi" w:hAnsiTheme="minorHAnsi"/>
                <w:b/>
                <w:bCs/>
                <w:sz w:val="22"/>
                <w:szCs w:val="22"/>
              </w:rPr>
              <w:t>ans, le secteur des titres-services est le seul où l</w:t>
            </w:r>
            <w:r w:rsidR="00202FD8" w:rsidRPr="7F1B925E">
              <w:rPr>
                <w:rFonts w:asciiTheme="minorHAnsi" w:hAnsiTheme="minorHAnsi"/>
                <w:b/>
                <w:bCs/>
                <w:sz w:val="22"/>
                <w:szCs w:val="22"/>
              </w:rPr>
              <w:t>’</w:t>
            </w:r>
            <w:r w:rsidRPr="7F1B925E">
              <w:rPr>
                <w:rFonts w:asciiTheme="minorHAnsi" w:hAnsiTheme="minorHAnsi"/>
                <w:b/>
                <w:bCs/>
                <w:sz w:val="22"/>
                <w:szCs w:val="22"/>
              </w:rPr>
              <w:t>on n</w:t>
            </w:r>
            <w:r w:rsidR="00202FD8" w:rsidRPr="7F1B925E">
              <w:rPr>
                <w:rFonts w:asciiTheme="minorHAnsi" w:hAnsiTheme="minorHAnsi"/>
                <w:b/>
                <w:bCs/>
                <w:sz w:val="22"/>
                <w:szCs w:val="22"/>
              </w:rPr>
              <w:t>’</w:t>
            </w:r>
            <w:r w:rsidRPr="7F1B925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 pas encore conclu un accord sectoriel. Ce manque de respect pour les travailleurs et travailleuses est </w:t>
            </w:r>
            <w:r w:rsidR="27D6A0DC" w:rsidRPr="7F1B925E">
              <w:rPr>
                <w:rFonts w:asciiTheme="minorHAnsi" w:hAnsiTheme="minorHAnsi"/>
                <w:b/>
                <w:bCs/>
                <w:sz w:val="22"/>
                <w:szCs w:val="22"/>
              </w:rPr>
              <w:t>inacceptable</w:t>
            </w:r>
            <w:r w:rsidRPr="7F1B925E">
              <w:rPr>
                <w:rFonts w:asciiTheme="minorHAnsi" w:hAnsiTheme="minorHAnsi"/>
                <w:b/>
                <w:bCs/>
                <w:sz w:val="22"/>
                <w:szCs w:val="22"/>
              </w:rPr>
              <w:t>. Les syndicats demandent dès lors une réforme fondamentale du secteur</w:t>
            </w:r>
            <w:r w:rsidR="00202FD8" w:rsidRPr="7F1B925E">
              <w:rPr>
                <w:rFonts w:asciiTheme="minorHAnsi" w:hAnsiTheme="minorHAnsi"/>
                <w:b/>
                <w:bCs/>
                <w:sz w:val="22"/>
                <w:szCs w:val="22"/>
              </w:rPr>
              <w:t> </w:t>
            </w:r>
            <w:r w:rsidRPr="7F1B925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il </w:t>
            </w:r>
            <w:r w:rsidR="63BFEC42" w:rsidRPr="7F1B925E">
              <w:rPr>
                <w:rFonts w:asciiTheme="minorHAnsi" w:hAnsiTheme="minorHAnsi"/>
                <w:b/>
                <w:bCs/>
                <w:sz w:val="22"/>
                <w:szCs w:val="22"/>
              </w:rPr>
              <w:t>n’est plus possible pour</w:t>
            </w:r>
            <w:r w:rsidRPr="7F1B925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les </w:t>
            </w:r>
            <w:proofErr w:type="spellStart"/>
            <w:r w:rsidRPr="7F1B925E">
              <w:rPr>
                <w:rFonts w:asciiTheme="minorHAnsi" w:hAnsiTheme="minorHAnsi"/>
                <w:b/>
                <w:bCs/>
                <w:sz w:val="22"/>
                <w:szCs w:val="22"/>
              </w:rPr>
              <w:t>aides-ménager∙es</w:t>
            </w:r>
            <w:proofErr w:type="spellEnd"/>
            <w:r w:rsidRPr="7F1B925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63BFEC42" w:rsidRPr="7F1B925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d’être </w:t>
            </w:r>
            <w:proofErr w:type="spellStart"/>
            <w:r w:rsidRPr="7F1B925E">
              <w:rPr>
                <w:rFonts w:asciiTheme="minorHAnsi" w:hAnsiTheme="minorHAnsi"/>
                <w:b/>
                <w:bCs/>
                <w:sz w:val="22"/>
                <w:szCs w:val="22"/>
              </w:rPr>
              <w:t>considéré∙es</w:t>
            </w:r>
            <w:proofErr w:type="spellEnd"/>
            <w:r w:rsidRPr="7F1B925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comme </w:t>
            </w:r>
            <w:r w:rsidR="00202FD8" w:rsidRPr="7F1B925E">
              <w:rPr>
                <w:rFonts w:asciiTheme="minorHAnsi" w:hAnsiTheme="minorHAnsi"/>
                <w:b/>
                <w:bCs/>
                <w:sz w:val="22"/>
                <w:szCs w:val="22"/>
              </w:rPr>
              <w:t>de la main-d’œuvre</w:t>
            </w:r>
            <w:r w:rsidRPr="7F1B925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de seconde zone, alors que certaines entreprises réalisent des bénéfices considérables. Des actions suivront dans les prochains jours. </w:t>
            </w:r>
          </w:p>
          <w:p w14:paraId="6EFD7D53" w14:textId="77777777" w:rsidR="00FE661F" w:rsidRPr="00202FD8" w:rsidRDefault="00FE661F" w:rsidP="0ED78CD0">
            <w:pPr>
              <w:ind w:left="57" w:right="46"/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  <w:p w14:paraId="5AA0E359" w14:textId="6D0B2F50" w:rsidR="00FE5231" w:rsidRPr="0054097D" w:rsidRDefault="007F7F02" w:rsidP="6EC6074B">
            <w:pPr>
              <w:ind w:left="57" w:right="46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6EC6074B">
              <w:rPr>
                <w:rFonts w:asciiTheme="minorHAnsi" w:hAnsiTheme="minorHAnsi"/>
                <w:sz w:val="22"/>
                <w:szCs w:val="22"/>
              </w:rPr>
              <w:t>Lorsque le système des titres-services a été créé il y a plus de 15</w:t>
            </w:r>
            <w:r w:rsidR="00202FD8" w:rsidRPr="6EC6074B">
              <w:rPr>
                <w:rFonts w:asciiTheme="minorHAnsi" w:hAnsiTheme="minorHAnsi"/>
                <w:sz w:val="22"/>
                <w:szCs w:val="22"/>
              </w:rPr>
              <w:t> </w:t>
            </w:r>
            <w:r w:rsidRPr="6EC6074B">
              <w:rPr>
                <w:rFonts w:asciiTheme="minorHAnsi" w:hAnsiTheme="minorHAnsi"/>
                <w:sz w:val="22"/>
                <w:szCs w:val="22"/>
              </w:rPr>
              <w:t xml:space="preserve">ans, il représentait un grand pas en avant pour les travailleurs et travailleuses qui </w:t>
            </w:r>
            <w:r w:rsidR="00B5492A">
              <w:rPr>
                <w:rFonts w:asciiTheme="minorHAnsi" w:hAnsiTheme="minorHAnsi"/>
                <w:sz w:val="22"/>
                <w:szCs w:val="22"/>
              </w:rPr>
              <w:t>exerçaient</w:t>
            </w:r>
            <w:r w:rsidRPr="6EC6074B">
              <w:rPr>
                <w:rFonts w:asciiTheme="minorHAnsi" w:hAnsiTheme="minorHAnsi"/>
                <w:sz w:val="22"/>
                <w:szCs w:val="22"/>
              </w:rPr>
              <w:t xml:space="preserve"> principalement au noir. Ils ont reçu des contrats à durée indéterminée et le droit à la sécurité sociale. Et pourtant, à ce jour, ils ne sont toujours pas considérés comme des travailleurs à part entière. Si l</w:t>
            </w:r>
            <w:r w:rsidR="00202FD8" w:rsidRPr="6EC6074B">
              <w:rPr>
                <w:rFonts w:asciiTheme="minorHAnsi" w:hAnsiTheme="minorHAnsi"/>
                <w:sz w:val="22"/>
                <w:szCs w:val="22"/>
              </w:rPr>
              <w:t>’</w:t>
            </w:r>
            <w:r w:rsidRPr="6EC6074B">
              <w:rPr>
                <w:rFonts w:asciiTheme="minorHAnsi" w:hAnsiTheme="minorHAnsi"/>
                <w:sz w:val="22"/>
                <w:szCs w:val="22"/>
              </w:rPr>
              <w:t>on compare avec un emploi équivalent dans le</w:t>
            </w:r>
            <w:r w:rsidR="2B2AC872" w:rsidRPr="6EC6074B">
              <w:rPr>
                <w:rFonts w:asciiTheme="minorHAnsi" w:hAnsiTheme="minorHAnsi"/>
                <w:sz w:val="22"/>
                <w:szCs w:val="22"/>
              </w:rPr>
              <w:t xml:space="preserve"> secteur du</w:t>
            </w:r>
            <w:r w:rsidRPr="6EC6074B">
              <w:rPr>
                <w:rFonts w:asciiTheme="minorHAnsi" w:hAnsiTheme="minorHAnsi"/>
                <w:sz w:val="22"/>
                <w:szCs w:val="22"/>
              </w:rPr>
              <w:t xml:space="preserve"> nettoyage</w:t>
            </w:r>
            <w:r w:rsidR="65919FEB" w:rsidRPr="6EC6074B">
              <w:rPr>
                <w:rFonts w:asciiTheme="minorHAnsi" w:hAnsiTheme="minorHAnsi"/>
                <w:sz w:val="22"/>
                <w:szCs w:val="22"/>
              </w:rPr>
              <w:t xml:space="preserve"> classique</w:t>
            </w:r>
            <w:r w:rsidRPr="6EC6074B">
              <w:rPr>
                <w:rFonts w:asciiTheme="minorHAnsi" w:hAnsiTheme="minorHAnsi"/>
                <w:sz w:val="22"/>
                <w:szCs w:val="22"/>
              </w:rPr>
              <w:t xml:space="preserve"> ou dans le secteur des soins, par exemple, les salaires sont inférieurs de 1 à 2</w:t>
            </w:r>
            <w:r w:rsidR="00202FD8" w:rsidRPr="6EC6074B">
              <w:rPr>
                <w:rFonts w:asciiTheme="minorHAnsi" w:hAnsiTheme="minorHAnsi"/>
                <w:sz w:val="22"/>
                <w:szCs w:val="22"/>
              </w:rPr>
              <w:t> </w:t>
            </w:r>
            <w:r w:rsidRPr="6EC6074B">
              <w:rPr>
                <w:rFonts w:asciiTheme="minorHAnsi" w:hAnsiTheme="minorHAnsi"/>
                <w:sz w:val="22"/>
                <w:szCs w:val="22"/>
              </w:rPr>
              <w:t>euros. Les déplacements entre 2</w:t>
            </w:r>
            <w:r w:rsidR="00202FD8" w:rsidRPr="6EC6074B">
              <w:rPr>
                <w:rFonts w:asciiTheme="minorHAnsi" w:hAnsiTheme="minorHAnsi"/>
                <w:sz w:val="22"/>
                <w:szCs w:val="22"/>
              </w:rPr>
              <w:t> </w:t>
            </w:r>
            <w:r w:rsidRPr="6EC6074B">
              <w:rPr>
                <w:rFonts w:asciiTheme="minorHAnsi" w:hAnsiTheme="minorHAnsi"/>
                <w:sz w:val="22"/>
                <w:szCs w:val="22"/>
              </w:rPr>
              <w:t>clients ne sont pas rémunérés comme du temps de travail (ce qui est bien le cas dans d</w:t>
            </w:r>
            <w:r w:rsidR="00202FD8" w:rsidRPr="6EC6074B">
              <w:rPr>
                <w:rFonts w:asciiTheme="minorHAnsi" w:hAnsiTheme="minorHAnsi"/>
                <w:sz w:val="22"/>
                <w:szCs w:val="22"/>
              </w:rPr>
              <w:t>’</w:t>
            </w:r>
            <w:r w:rsidRPr="6EC6074B">
              <w:rPr>
                <w:rFonts w:asciiTheme="minorHAnsi" w:hAnsiTheme="minorHAnsi"/>
                <w:sz w:val="22"/>
                <w:szCs w:val="22"/>
              </w:rPr>
              <w:t xml:space="preserve">autres secteurs) et les </w:t>
            </w:r>
            <w:proofErr w:type="spellStart"/>
            <w:r w:rsidRPr="6EC6074B">
              <w:rPr>
                <w:rFonts w:asciiTheme="minorHAnsi" w:hAnsiTheme="minorHAnsi"/>
                <w:sz w:val="22"/>
                <w:szCs w:val="22"/>
              </w:rPr>
              <w:t>aides-ménager∙es</w:t>
            </w:r>
            <w:proofErr w:type="spellEnd"/>
            <w:r w:rsidRPr="6EC6074B">
              <w:rPr>
                <w:rFonts w:asciiTheme="minorHAnsi" w:hAnsiTheme="minorHAnsi"/>
                <w:sz w:val="22"/>
                <w:szCs w:val="22"/>
              </w:rPr>
              <w:t xml:space="preserve"> doivent assumer personnellement la majorité des frais de déplacement, comme le montre cet exemple</w:t>
            </w:r>
            <w:r w:rsidR="00202FD8" w:rsidRPr="6EC6074B">
              <w:rPr>
                <w:rFonts w:asciiTheme="minorHAnsi" w:hAnsiTheme="minorHAnsi"/>
                <w:sz w:val="22"/>
                <w:szCs w:val="22"/>
              </w:rPr>
              <w:t> </w:t>
            </w:r>
            <w:r w:rsidRPr="6EC6074B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3295A74D" w14:textId="3240085E" w:rsidR="00702710" w:rsidRPr="00202FD8" w:rsidRDefault="00702710" w:rsidP="00BD146F">
            <w:pPr>
              <w:ind w:left="57" w:right="46"/>
              <w:jc w:val="both"/>
              <w:rPr>
                <w:rFonts w:asciiTheme="minorHAnsi" w:hAnsiTheme="minorHAnsi" w:cstheme="minorBidi"/>
              </w:rPr>
            </w:pPr>
          </w:p>
          <w:tbl>
            <w:tblPr>
              <w:tblW w:w="101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00"/>
              <w:gridCol w:w="1820"/>
              <w:gridCol w:w="2800"/>
            </w:tblGrid>
            <w:tr w:rsidR="00702710" w:rsidRPr="00717C5A" w14:paraId="7C8FF19C" w14:textId="77777777" w:rsidTr="00057B1C">
              <w:trPr>
                <w:trHeight w:val="300"/>
              </w:trPr>
              <w:tc>
                <w:tcPr>
                  <w:tcW w:w="5500" w:type="dxa"/>
                  <w:shd w:val="clear" w:color="auto" w:fill="auto"/>
                  <w:noWrap/>
                  <w:vAlign w:val="bottom"/>
                  <w:hideMark/>
                </w:tcPr>
                <w:p w14:paraId="26982B97" w14:textId="409A492E" w:rsidR="00702710" w:rsidRPr="00202FD8" w:rsidRDefault="00702710" w:rsidP="00702710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nl-BE"/>
                    </w:rPr>
                  </w:pPr>
                </w:p>
              </w:tc>
              <w:tc>
                <w:tcPr>
                  <w:tcW w:w="1820" w:type="dxa"/>
                  <w:shd w:val="clear" w:color="auto" w:fill="auto"/>
                  <w:noWrap/>
                  <w:vAlign w:val="bottom"/>
                  <w:hideMark/>
                </w:tcPr>
                <w:p w14:paraId="36CD143A" w14:textId="77777777" w:rsidR="00702710" w:rsidRPr="0054097D" w:rsidRDefault="00702710" w:rsidP="0029554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highlight w:val="green"/>
                    </w:rPr>
                    <w:t>coût réel</w:t>
                  </w:r>
                </w:p>
              </w:tc>
              <w:tc>
                <w:tcPr>
                  <w:tcW w:w="2800" w:type="dxa"/>
                  <w:shd w:val="clear" w:color="auto" w:fill="auto"/>
                  <w:noWrap/>
                  <w:vAlign w:val="bottom"/>
                  <w:hideMark/>
                </w:tcPr>
                <w:p w14:paraId="748DBCC6" w14:textId="45C28559" w:rsidR="00702710" w:rsidRPr="0054097D" w:rsidRDefault="00702710" w:rsidP="0029554D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highlight w:val="cyan"/>
                    </w:rPr>
                    <w:t>remboursement par l</w:t>
                  </w:r>
                  <w:r w:rsidR="00202FD8">
                    <w:rPr>
                      <w:rFonts w:ascii="Calibri" w:hAnsi="Calibri"/>
                      <w:color w:val="000000"/>
                      <w:sz w:val="22"/>
                      <w:highlight w:val="cyan"/>
                    </w:rPr>
                    <w:t>’</w:t>
                  </w:r>
                  <w:r>
                    <w:rPr>
                      <w:rFonts w:ascii="Calibri" w:hAnsi="Calibri"/>
                      <w:color w:val="000000"/>
                      <w:sz w:val="22"/>
                      <w:highlight w:val="cyan"/>
                    </w:rPr>
                    <w:t>employeur</w:t>
                  </w:r>
                </w:p>
              </w:tc>
            </w:tr>
            <w:tr w:rsidR="00702710" w:rsidRPr="00717C5A" w14:paraId="3190C93F" w14:textId="77777777" w:rsidTr="00057B1C">
              <w:trPr>
                <w:trHeight w:val="300"/>
              </w:trPr>
              <w:tc>
                <w:tcPr>
                  <w:tcW w:w="5500" w:type="dxa"/>
                  <w:shd w:val="clear" w:color="auto" w:fill="auto"/>
                  <w:noWrap/>
                  <w:vAlign w:val="bottom"/>
                  <w:hideMark/>
                </w:tcPr>
                <w:p w14:paraId="3934ED47" w14:textId="10471D6D" w:rsidR="00702710" w:rsidRPr="0054097D" w:rsidRDefault="00702710" w:rsidP="0070271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</w:rPr>
                    <w:t>déplacement vers le premier client</w:t>
                  </w:r>
                  <w:r w:rsidR="00202FD8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  <w:r>
                    <w:rPr>
                      <w:rFonts w:ascii="Calibri" w:hAnsi="Calibri"/>
                      <w:color w:val="000000"/>
                      <w:sz w:val="22"/>
                    </w:rPr>
                    <w:t>: 10</w:t>
                  </w:r>
                  <w:r w:rsidR="00202FD8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  <w:r>
                    <w:rPr>
                      <w:rFonts w:ascii="Calibri" w:hAnsi="Calibri"/>
                      <w:color w:val="000000"/>
                      <w:sz w:val="22"/>
                    </w:rPr>
                    <w:t>km</w:t>
                  </w:r>
                </w:p>
              </w:tc>
              <w:tc>
                <w:tcPr>
                  <w:tcW w:w="1820" w:type="dxa"/>
                  <w:shd w:val="clear" w:color="auto" w:fill="auto"/>
                  <w:noWrap/>
                  <w:vAlign w:val="bottom"/>
                  <w:hideMark/>
                </w:tcPr>
                <w:p w14:paraId="3E7F7D28" w14:textId="77777777" w:rsidR="00702710" w:rsidRPr="0054097D" w:rsidRDefault="00702710" w:rsidP="00E87488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</w:rPr>
                    <w:t>3,40</w:t>
                  </w:r>
                </w:p>
              </w:tc>
              <w:tc>
                <w:tcPr>
                  <w:tcW w:w="2800" w:type="dxa"/>
                  <w:shd w:val="clear" w:color="auto" w:fill="auto"/>
                  <w:noWrap/>
                  <w:vAlign w:val="bottom"/>
                  <w:hideMark/>
                </w:tcPr>
                <w:p w14:paraId="3BF1427F" w14:textId="77777777" w:rsidR="00702710" w:rsidRPr="0054097D" w:rsidRDefault="00702710" w:rsidP="00E87488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</w:rPr>
                    <w:t>1,26</w:t>
                  </w:r>
                </w:p>
              </w:tc>
            </w:tr>
            <w:tr w:rsidR="00702710" w:rsidRPr="00717C5A" w14:paraId="5347298D" w14:textId="77777777" w:rsidTr="00057B1C">
              <w:trPr>
                <w:trHeight w:val="300"/>
              </w:trPr>
              <w:tc>
                <w:tcPr>
                  <w:tcW w:w="5500" w:type="dxa"/>
                  <w:shd w:val="clear" w:color="auto" w:fill="auto"/>
                  <w:noWrap/>
                  <w:vAlign w:val="bottom"/>
                  <w:hideMark/>
                </w:tcPr>
                <w:p w14:paraId="1A8537D4" w14:textId="2E7B9CB9" w:rsidR="00702710" w:rsidRPr="0054097D" w:rsidRDefault="00702710" w:rsidP="0070271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</w:rPr>
                    <w:t>déplacement vers le deuxième client</w:t>
                  </w:r>
                  <w:r w:rsidR="00202FD8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  <w:r>
                    <w:rPr>
                      <w:rFonts w:ascii="Calibri" w:hAnsi="Calibri"/>
                      <w:color w:val="000000"/>
                      <w:sz w:val="22"/>
                    </w:rPr>
                    <w:t>: 7</w:t>
                  </w:r>
                  <w:r w:rsidR="00202FD8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  <w:r>
                    <w:rPr>
                      <w:rFonts w:ascii="Calibri" w:hAnsi="Calibri"/>
                      <w:color w:val="000000"/>
                      <w:sz w:val="22"/>
                    </w:rPr>
                    <w:t>km</w:t>
                  </w:r>
                </w:p>
              </w:tc>
              <w:tc>
                <w:tcPr>
                  <w:tcW w:w="1820" w:type="dxa"/>
                  <w:shd w:val="clear" w:color="auto" w:fill="auto"/>
                  <w:noWrap/>
                  <w:vAlign w:val="bottom"/>
                  <w:hideMark/>
                </w:tcPr>
                <w:p w14:paraId="03BB6D80" w14:textId="77777777" w:rsidR="00702710" w:rsidRPr="0054097D" w:rsidRDefault="00702710" w:rsidP="00E87488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</w:rPr>
                    <w:t>2,38</w:t>
                  </w:r>
                </w:p>
              </w:tc>
              <w:tc>
                <w:tcPr>
                  <w:tcW w:w="2800" w:type="dxa"/>
                  <w:shd w:val="clear" w:color="auto" w:fill="auto"/>
                  <w:noWrap/>
                  <w:vAlign w:val="bottom"/>
                  <w:hideMark/>
                </w:tcPr>
                <w:p w14:paraId="486484CB" w14:textId="77777777" w:rsidR="00702710" w:rsidRPr="0054097D" w:rsidRDefault="00702710" w:rsidP="00E87488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</w:rPr>
                    <w:t>0,91</w:t>
                  </w:r>
                </w:p>
              </w:tc>
            </w:tr>
            <w:tr w:rsidR="00702710" w:rsidRPr="00717C5A" w14:paraId="48F48310" w14:textId="77777777" w:rsidTr="00057B1C">
              <w:trPr>
                <w:trHeight w:val="300"/>
              </w:trPr>
              <w:tc>
                <w:tcPr>
                  <w:tcW w:w="5500" w:type="dxa"/>
                  <w:shd w:val="clear" w:color="auto" w:fill="auto"/>
                  <w:noWrap/>
                  <w:vAlign w:val="bottom"/>
                  <w:hideMark/>
                </w:tcPr>
                <w:p w14:paraId="6C11DCD6" w14:textId="22703133" w:rsidR="00702710" w:rsidRPr="0054097D" w:rsidRDefault="00702710" w:rsidP="0070271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</w:rPr>
                    <w:t>déplacement vers le domicile</w:t>
                  </w:r>
                  <w:r w:rsidR="00202FD8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  <w:r>
                    <w:rPr>
                      <w:rFonts w:ascii="Calibri" w:hAnsi="Calibri"/>
                      <w:color w:val="000000"/>
                      <w:sz w:val="22"/>
                    </w:rPr>
                    <w:t>: 12</w:t>
                  </w:r>
                  <w:r w:rsidR="00202FD8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  <w:r>
                    <w:rPr>
                      <w:rFonts w:ascii="Calibri" w:hAnsi="Calibri"/>
                      <w:color w:val="000000"/>
                      <w:sz w:val="22"/>
                    </w:rPr>
                    <w:t>km</w:t>
                  </w:r>
                </w:p>
              </w:tc>
              <w:tc>
                <w:tcPr>
                  <w:tcW w:w="1820" w:type="dxa"/>
                  <w:shd w:val="clear" w:color="auto" w:fill="auto"/>
                  <w:noWrap/>
                  <w:vAlign w:val="bottom"/>
                  <w:hideMark/>
                </w:tcPr>
                <w:p w14:paraId="0451FD0D" w14:textId="77777777" w:rsidR="00702710" w:rsidRPr="0054097D" w:rsidRDefault="00702710" w:rsidP="00E87488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</w:rPr>
                    <w:t>4,08</w:t>
                  </w:r>
                </w:p>
              </w:tc>
              <w:tc>
                <w:tcPr>
                  <w:tcW w:w="2800" w:type="dxa"/>
                  <w:shd w:val="clear" w:color="auto" w:fill="auto"/>
                  <w:noWrap/>
                  <w:vAlign w:val="bottom"/>
                  <w:hideMark/>
                </w:tcPr>
                <w:p w14:paraId="58658036" w14:textId="77777777" w:rsidR="00702710" w:rsidRPr="0054097D" w:rsidRDefault="00702710" w:rsidP="00E87488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</w:rPr>
                    <w:t>1,38</w:t>
                  </w:r>
                </w:p>
              </w:tc>
            </w:tr>
            <w:tr w:rsidR="00702710" w:rsidRPr="00717C5A" w14:paraId="0050B5EF" w14:textId="77777777" w:rsidTr="00057B1C">
              <w:trPr>
                <w:trHeight w:val="300"/>
              </w:trPr>
              <w:tc>
                <w:tcPr>
                  <w:tcW w:w="5500" w:type="dxa"/>
                  <w:shd w:val="clear" w:color="auto" w:fill="auto"/>
                  <w:noWrap/>
                  <w:vAlign w:val="bottom"/>
                  <w:hideMark/>
                </w:tcPr>
                <w:p w14:paraId="6754E8C8" w14:textId="09811F6E" w:rsidR="00702710" w:rsidRPr="0054097D" w:rsidRDefault="00702710" w:rsidP="0070271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</w:rPr>
                    <w:t>22</w:t>
                  </w:r>
                  <w:r w:rsidR="00202FD8"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  <w:r>
                    <w:rPr>
                      <w:rFonts w:ascii="Calibri" w:hAnsi="Calibri"/>
                      <w:color w:val="000000"/>
                      <w:sz w:val="22"/>
                    </w:rPr>
                    <w:t>jours de travail</w:t>
                  </w:r>
                </w:p>
              </w:tc>
              <w:tc>
                <w:tcPr>
                  <w:tcW w:w="1820" w:type="dxa"/>
                  <w:shd w:val="clear" w:color="auto" w:fill="auto"/>
                  <w:noWrap/>
                  <w:vAlign w:val="bottom"/>
                  <w:hideMark/>
                </w:tcPr>
                <w:p w14:paraId="3F73370B" w14:textId="77777777" w:rsidR="00702710" w:rsidRPr="0054097D" w:rsidRDefault="00702710" w:rsidP="00E87488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highlight w:val="green"/>
                    </w:rPr>
                    <w:t>216,92</w:t>
                  </w:r>
                </w:p>
              </w:tc>
              <w:tc>
                <w:tcPr>
                  <w:tcW w:w="2800" w:type="dxa"/>
                  <w:shd w:val="clear" w:color="auto" w:fill="auto"/>
                  <w:noWrap/>
                  <w:vAlign w:val="bottom"/>
                  <w:hideMark/>
                </w:tcPr>
                <w:p w14:paraId="42137A89" w14:textId="35340A18" w:rsidR="00702710" w:rsidRPr="0054097D" w:rsidRDefault="00702710" w:rsidP="00E87488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highlight w:val="cyan"/>
                    </w:rPr>
                    <w:t>78,10</w:t>
                  </w:r>
                </w:p>
              </w:tc>
            </w:tr>
            <w:tr w:rsidR="00702710" w:rsidRPr="00321DC0" w14:paraId="0B9CB0AB" w14:textId="77777777" w:rsidTr="00057B1C">
              <w:trPr>
                <w:trHeight w:val="300"/>
              </w:trPr>
              <w:tc>
                <w:tcPr>
                  <w:tcW w:w="5500" w:type="dxa"/>
                  <w:shd w:val="clear" w:color="000000" w:fill="FFFF00"/>
                  <w:noWrap/>
                  <w:vAlign w:val="bottom"/>
                  <w:hideMark/>
                </w:tcPr>
                <w:p w14:paraId="33605556" w14:textId="71B0FD07" w:rsidR="00702710" w:rsidRPr="0054097D" w:rsidRDefault="00702710" w:rsidP="0070271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</w:rPr>
                    <w:t>coût à charge de l</w:t>
                  </w:r>
                  <w:r w:rsidR="00202FD8">
                    <w:rPr>
                      <w:rFonts w:ascii="Calibri" w:hAnsi="Calibri"/>
                      <w:color w:val="000000"/>
                      <w:sz w:val="22"/>
                    </w:rPr>
                    <w:t>’</w:t>
                  </w:r>
                  <w:proofErr w:type="spellStart"/>
                  <w:r>
                    <w:rPr>
                      <w:rFonts w:ascii="Calibri" w:hAnsi="Calibri"/>
                      <w:color w:val="000000"/>
                      <w:sz w:val="22"/>
                    </w:rPr>
                    <w:t>aide-ménager∙e</w:t>
                  </w:r>
                  <w:proofErr w:type="spellEnd"/>
                </w:p>
              </w:tc>
              <w:tc>
                <w:tcPr>
                  <w:tcW w:w="1820" w:type="dxa"/>
                  <w:shd w:val="clear" w:color="000000" w:fill="FFFF00"/>
                  <w:noWrap/>
                  <w:vAlign w:val="bottom"/>
                  <w:hideMark/>
                </w:tcPr>
                <w:p w14:paraId="11B690F9" w14:textId="77777777" w:rsidR="00702710" w:rsidRPr="0054097D" w:rsidRDefault="00702710" w:rsidP="00702710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</w:rPr>
                    <w:t> </w:t>
                  </w:r>
                </w:p>
              </w:tc>
              <w:tc>
                <w:tcPr>
                  <w:tcW w:w="2800" w:type="dxa"/>
                  <w:shd w:val="clear" w:color="000000" w:fill="FFFF00"/>
                  <w:noWrap/>
                  <w:vAlign w:val="bottom"/>
                  <w:hideMark/>
                </w:tcPr>
                <w:p w14:paraId="23E46252" w14:textId="77777777" w:rsidR="00702710" w:rsidRPr="0054097D" w:rsidRDefault="00702710" w:rsidP="00702710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</w:rPr>
                    <w:t>138,82</w:t>
                  </w:r>
                </w:p>
              </w:tc>
            </w:tr>
          </w:tbl>
          <w:p w14:paraId="5D8DDE5B" w14:textId="774891C4" w:rsidR="00702710" w:rsidRDefault="001D10F3" w:rsidP="7F1B925E">
            <w:pPr>
              <w:ind w:left="57" w:right="46"/>
              <w:jc w:val="both"/>
              <w:rPr>
                <w:rFonts w:asciiTheme="minorHAnsi" w:hAnsiTheme="minorHAnsi" w:cstheme="minorBidi"/>
              </w:rPr>
            </w:pPr>
            <w:r w:rsidRPr="7F1B925E">
              <w:rPr>
                <w:rFonts w:asciiTheme="minorHAnsi" w:hAnsiTheme="minorHAnsi"/>
                <w:sz w:val="20"/>
                <w:szCs w:val="20"/>
              </w:rPr>
              <w:t>(</w:t>
            </w:r>
            <w:r w:rsidR="50256204" w:rsidRPr="7F1B925E">
              <w:rPr>
                <w:rFonts w:asciiTheme="minorHAnsi" w:hAnsiTheme="minorHAnsi"/>
                <w:sz w:val="20"/>
                <w:szCs w:val="20"/>
              </w:rPr>
              <w:t>l’</w:t>
            </w:r>
            <w:r w:rsidR="208D547C" w:rsidRPr="7F1B925E">
              <w:rPr>
                <w:rFonts w:asciiTheme="minorHAnsi" w:hAnsiTheme="minorHAnsi"/>
                <w:sz w:val="20"/>
                <w:szCs w:val="20"/>
              </w:rPr>
              <w:t>exemple</w:t>
            </w:r>
            <w:r w:rsidR="50256204" w:rsidRPr="7F1B925E">
              <w:rPr>
                <w:rFonts w:asciiTheme="minorHAnsi" w:hAnsiTheme="minorHAnsi"/>
                <w:sz w:val="20"/>
                <w:szCs w:val="20"/>
              </w:rPr>
              <w:t xml:space="preserve"> est sur base des trajets moyens. Le </w:t>
            </w:r>
            <w:r w:rsidRPr="7F1B925E">
              <w:rPr>
                <w:rFonts w:asciiTheme="minorHAnsi" w:hAnsiTheme="minorHAnsi"/>
                <w:sz w:val="20"/>
                <w:szCs w:val="20"/>
              </w:rPr>
              <w:t xml:space="preserve">coût réel calculé au moyen du module fourni sur le site du Moniteur </w:t>
            </w:r>
            <w:r w:rsidR="00202FD8" w:rsidRPr="7F1B925E">
              <w:rPr>
                <w:rFonts w:asciiTheme="minorHAnsi" w:hAnsiTheme="minorHAnsi"/>
                <w:sz w:val="20"/>
                <w:szCs w:val="20"/>
              </w:rPr>
              <w:t>a</w:t>
            </w:r>
            <w:r w:rsidRPr="7F1B925E">
              <w:rPr>
                <w:rFonts w:asciiTheme="minorHAnsi" w:hAnsiTheme="minorHAnsi"/>
                <w:sz w:val="20"/>
                <w:szCs w:val="20"/>
              </w:rPr>
              <w:t>utomobile, avec une Renault Clio</w:t>
            </w:r>
            <w:r w:rsidR="00202FD8" w:rsidRPr="7F1B925E">
              <w:rPr>
                <w:rFonts w:asciiTheme="minorHAnsi" w:hAnsiTheme="minorHAnsi"/>
                <w:sz w:val="20"/>
                <w:szCs w:val="20"/>
              </w:rPr>
              <w:t> </w:t>
            </w:r>
            <w:r w:rsidRPr="7F1B925E">
              <w:rPr>
                <w:rFonts w:asciiTheme="minorHAnsi" w:hAnsiTheme="minorHAnsi"/>
                <w:sz w:val="20"/>
                <w:szCs w:val="20"/>
              </w:rPr>
              <w:t>2017</w:t>
            </w:r>
            <w:r w:rsidR="00202FD8" w:rsidRPr="7F1B925E">
              <w:rPr>
                <w:rFonts w:asciiTheme="minorHAnsi" w:hAnsiTheme="minorHAnsi"/>
                <w:sz w:val="20"/>
                <w:szCs w:val="20"/>
              </w:rPr>
              <w:t> </w:t>
            </w:r>
            <w:r w:rsidRPr="7F1B925E">
              <w:rPr>
                <w:rFonts w:asciiTheme="minorHAnsi" w:hAnsiTheme="minorHAnsi"/>
                <w:sz w:val="20"/>
                <w:szCs w:val="20"/>
              </w:rPr>
              <w:t>: coût réel par km = 0,34</w:t>
            </w:r>
            <w:r w:rsidR="00202FD8" w:rsidRPr="7F1B925E">
              <w:rPr>
                <w:rFonts w:asciiTheme="minorHAnsi" w:hAnsiTheme="minorHAnsi"/>
                <w:sz w:val="20"/>
                <w:szCs w:val="20"/>
              </w:rPr>
              <w:t> </w:t>
            </w:r>
            <w:r w:rsidRPr="7F1B925E">
              <w:rPr>
                <w:rFonts w:asciiTheme="minorHAnsi" w:hAnsiTheme="minorHAnsi"/>
                <w:sz w:val="20"/>
                <w:szCs w:val="20"/>
              </w:rPr>
              <w:t>€)</w:t>
            </w:r>
          </w:p>
          <w:p w14:paraId="2668804E" w14:textId="4B837B09" w:rsidR="00C03FA0" w:rsidRPr="00202FD8" w:rsidRDefault="00C03FA0" w:rsidP="0018793A">
            <w:pPr>
              <w:ind w:left="57" w:right="46"/>
              <w:jc w:val="both"/>
              <w:rPr>
                <w:rFonts w:asciiTheme="minorHAnsi" w:hAnsiTheme="minorHAnsi" w:cstheme="minorHAnsi"/>
              </w:rPr>
            </w:pPr>
          </w:p>
          <w:p w14:paraId="1E50FE94" w14:textId="60118E74" w:rsidR="00F441CF" w:rsidRPr="0054097D" w:rsidRDefault="00211DF1" w:rsidP="0FB94EC0">
            <w:pPr>
              <w:ind w:left="57" w:right="46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 xml:space="preserve">sans oublier que </w:t>
            </w:r>
            <w:r w:rsidR="00202FD8">
              <w:rPr>
                <w:rFonts w:asciiTheme="minorHAnsi" w:hAnsiTheme="minorHAnsi"/>
                <w:sz w:val="22"/>
              </w:rPr>
              <w:t>les</w:t>
            </w:r>
            <w:r w:rsidR="00AF429C">
              <w:rPr>
                <w:rFonts w:asciiTheme="minorHAnsi" w:hAnsiTheme="minorHAnsi"/>
                <w:sz w:val="22"/>
              </w:rPr>
              <w:t xml:space="preserve"> frais de parking</w:t>
            </w:r>
            <w:r w:rsidR="00B5492A">
              <w:rPr>
                <w:rFonts w:asciiTheme="minorHAnsi" w:hAnsiTheme="minorHAnsi"/>
                <w:sz w:val="22"/>
              </w:rPr>
              <w:t xml:space="preserve"> </w:t>
            </w:r>
            <w:r w:rsidR="00AF429C">
              <w:rPr>
                <w:rFonts w:asciiTheme="minorHAnsi" w:hAnsiTheme="minorHAnsi"/>
                <w:sz w:val="22"/>
              </w:rPr>
              <w:t xml:space="preserve">sont également à la charge des travailleurs et travailleuses. Les </w:t>
            </w:r>
            <w:proofErr w:type="spellStart"/>
            <w:r w:rsidR="00AF429C">
              <w:rPr>
                <w:rFonts w:asciiTheme="minorHAnsi" w:hAnsiTheme="minorHAnsi"/>
                <w:sz w:val="22"/>
              </w:rPr>
              <w:t>aides-ménager∙es</w:t>
            </w:r>
            <w:proofErr w:type="spellEnd"/>
            <w:r w:rsidR="00AF429C">
              <w:rPr>
                <w:rFonts w:asciiTheme="minorHAnsi" w:hAnsiTheme="minorHAnsi"/>
                <w:sz w:val="22"/>
              </w:rPr>
              <w:t xml:space="preserve"> « investissent » environ 10</w:t>
            </w:r>
            <w:r w:rsidR="00202FD8">
              <w:rPr>
                <w:rFonts w:asciiTheme="minorHAnsi" w:hAnsiTheme="minorHAnsi"/>
                <w:sz w:val="22"/>
              </w:rPr>
              <w:t> </w:t>
            </w:r>
            <w:r w:rsidR="00AF429C">
              <w:rPr>
                <w:rFonts w:asciiTheme="minorHAnsi" w:hAnsiTheme="minorHAnsi"/>
                <w:sz w:val="22"/>
              </w:rPr>
              <w:t>% de leurs revenus dans les frais de déplacement. Nous rappelons que dans d</w:t>
            </w:r>
            <w:r w:rsidR="00202FD8">
              <w:rPr>
                <w:rFonts w:asciiTheme="minorHAnsi" w:hAnsiTheme="minorHAnsi"/>
                <w:sz w:val="22"/>
              </w:rPr>
              <w:t>’</w:t>
            </w:r>
            <w:r w:rsidR="00AF429C">
              <w:rPr>
                <w:rFonts w:asciiTheme="minorHAnsi" w:hAnsiTheme="minorHAnsi"/>
                <w:sz w:val="22"/>
              </w:rPr>
              <w:t>autres secteurs, les travailleurs et travailleuses reçoivent une indemnité kilométrique de 0,37</w:t>
            </w:r>
            <w:r w:rsidR="00202FD8">
              <w:rPr>
                <w:rFonts w:asciiTheme="minorHAnsi" w:hAnsiTheme="minorHAnsi"/>
                <w:sz w:val="22"/>
              </w:rPr>
              <w:t> </w:t>
            </w:r>
            <w:r w:rsidR="00AF429C">
              <w:rPr>
                <w:rFonts w:asciiTheme="minorHAnsi" w:hAnsiTheme="minorHAnsi"/>
                <w:sz w:val="22"/>
              </w:rPr>
              <w:t>€. Dans le secteur des titres-services, elle est limitée à 0,13</w:t>
            </w:r>
            <w:r w:rsidR="00202FD8">
              <w:rPr>
                <w:rFonts w:asciiTheme="minorHAnsi" w:hAnsiTheme="minorHAnsi"/>
                <w:sz w:val="22"/>
              </w:rPr>
              <w:t> </w:t>
            </w:r>
            <w:r w:rsidR="00AF429C">
              <w:rPr>
                <w:rFonts w:asciiTheme="minorHAnsi" w:hAnsiTheme="minorHAnsi"/>
                <w:sz w:val="22"/>
              </w:rPr>
              <w:t>€. Les employeurs ne sont pas disposés à consentir un effort sérieux pour combler ce fossé, ce que nous estimons toujours inacceptable. Dans le même temps, le prix des carburants ne cesse d</w:t>
            </w:r>
            <w:r w:rsidR="00202FD8">
              <w:rPr>
                <w:rFonts w:asciiTheme="minorHAnsi" w:hAnsiTheme="minorHAnsi"/>
                <w:sz w:val="22"/>
              </w:rPr>
              <w:t>’</w:t>
            </w:r>
            <w:r w:rsidR="00AF429C">
              <w:rPr>
                <w:rFonts w:asciiTheme="minorHAnsi" w:hAnsiTheme="minorHAnsi"/>
                <w:sz w:val="22"/>
              </w:rPr>
              <w:t>augmenter. La hausse des prix de l</w:t>
            </w:r>
            <w:r w:rsidR="00202FD8">
              <w:rPr>
                <w:rFonts w:asciiTheme="minorHAnsi" w:hAnsiTheme="minorHAnsi"/>
                <w:sz w:val="22"/>
              </w:rPr>
              <w:t>’</w:t>
            </w:r>
            <w:r w:rsidR="00AF429C">
              <w:rPr>
                <w:rFonts w:asciiTheme="minorHAnsi" w:hAnsiTheme="minorHAnsi"/>
                <w:sz w:val="22"/>
              </w:rPr>
              <w:t>énergie va faire en sorte qu</w:t>
            </w:r>
            <w:r w:rsidR="00202FD8">
              <w:rPr>
                <w:rFonts w:asciiTheme="minorHAnsi" w:hAnsiTheme="minorHAnsi"/>
                <w:sz w:val="22"/>
              </w:rPr>
              <w:t>’</w:t>
            </w:r>
            <w:r w:rsidR="00AF429C">
              <w:rPr>
                <w:rFonts w:asciiTheme="minorHAnsi" w:hAnsiTheme="minorHAnsi"/>
                <w:sz w:val="22"/>
              </w:rPr>
              <w:t xml:space="preserve">encore plus de travailleurs et travailleuses ne pourront plus se permettre de vivre dignement. </w:t>
            </w:r>
          </w:p>
          <w:p w14:paraId="178E619B" w14:textId="4C4334E6" w:rsidR="008F6C46" w:rsidRPr="00202FD8" w:rsidRDefault="008F6C46" w:rsidP="0FB94EC0">
            <w:pPr>
              <w:ind w:left="57" w:right="46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  <w:p w14:paraId="434E8C69" w14:textId="52528601" w:rsidR="008F6C46" w:rsidRPr="0054097D" w:rsidRDefault="008F6C46" w:rsidP="7F1B925E">
            <w:pPr>
              <w:ind w:left="57" w:right="4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7F1B925E">
              <w:rPr>
                <w:rFonts w:asciiTheme="minorHAnsi" w:hAnsiTheme="minorHAnsi"/>
                <w:sz w:val="22"/>
                <w:szCs w:val="22"/>
              </w:rPr>
              <w:t>En 15</w:t>
            </w:r>
            <w:r w:rsidR="00202FD8" w:rsidRPr="7F1B925E">
              <w:rPr>
                <w:rFonts w:asciiTheme="minorHAnsi" w:hAnsiTheme="minorHAnsi"/>
                <w:sz w:val="22"/>
                <w:szCs w:val="22"/>
              </w:rPr>
              <w:t> </w:t>
            </w:r>
            <w:r w:rsidRPr="7F1B925E">
              <w:rPr>
                <w:rFonts w:asciiTheme="minorHAnsi" w:hAnsiTheme="minorHAnsi"/>
                <w:sz w:val="22"/>
                <w:szCs w:val="22"/>
              </w:rPr>
              <w:t>ans, le secteur a par ailleurs changé énormément. D</w:t>
            </w:r>
            <w:r w:rsidR="00202FD8" w:rsidRPr="7F1B925E">
              <w:rPr>
                <w:rFonts w:asciiTheme="minorHAnsi" w:hAnsiTheme="minorHAnsi"/>
                <w:sz w:val="22"/>
                <w:szCs w:val="22"/>
              </w:rPr>
              <w:t>’</w:t>
            </w:r>
            <w:r w:rsidRPr="7F1B925E">
              <w:rPr>
                <w:rFonts w:asciiTheme="minorHAnsi" w:hAnsiTheme="minorHAnsi"/>
                <w:sz w:val="22"/>
                <w:szCs w:val="22"/>
              </w:rPr>
              <w:t>un secteur composé principalement des petites ASBL locales, il a évolué vers un secteur commercial dans lequel une douzaine de grands acteurs détiennent la moitié du marché. Grâce aux subventions publiques, ces entreprises commerciales génèrent d</w:t>
            </w:r>
            <w:r w:rsidR="00202FD8" w:rsidRPr="7F1B925E">
              <w:rPr>
                <w:rFonts w:asciiTheme="minorHAnsi" w:hAnsiTheme="minorHAnsi"/>
                <w:sz w:val="22"/>
                <w:szCs w:val="22"/>
              </w:rPr>
              <w:t>’</w:t>
            </w:r>
            <w:r w:rsidRPr="7F1B925E">
              <w:rPr>
                <w:rFonts w:asciiTheme="minorHAnsi" w:hAnsiTheme="minorHAnsi"/>
                <w:sz w:val="22"/>
                <w:szCs w:val="22"/>
              </w:rPr>
              <w:t>énormes bénéfices, qui sont reversés aux actionnaires ou à d</w:t>
            </w:r>
            <w:r w:rsidR="00202FD8" w:rsidRPr="7F1B925E">
              <w:rPr>
                <w:rFonts w:asciiTheme="minorHAnsi" w:hAnsiTheme="minorHAnsi"/>
                <w:sz w:val="22"/>
                <w:szCs w:val="22"/>
              </w:rPr>
              <w:t>’</w:t>
            </w:r>
            <w:r w:rsidRPr="7F1B925E">
              <w:rPr>
                <w:rFonts w:asciiTheme="minorHAnsi" w:hAnsiTheme="minorHAnsi"/>
                <w:sz w:val="22"/>
                <w:szCs w:val="22"/>
              </w:rPr>
              <w:t xml:space="preserve">autres branches du groupe (les agences intérimaires, par exemple). </w:t>
            </w:r>
            <w:r w:rsidR="76ACBDCB" w:rsidRPr="7F1B925E">
              <w:rPr>
                <w:rFonts w:asciiTheme="minorHAnsi" w:hAnsiTheme="minorHAnsi"/>
                <w:sz w:val="22"/>
                <w:szCs w:val="22"/>
              </w:rPr>
              <w:t xml:space="preserve">Les entreprises répercutent également de plus en plus de coûts sur les clients, </w:t>
            </w:r>
            <w:r w:rsidR="39D1B525" w:rsidRPr="7F1B925E">
              <w:rPr>
                <w:rFonts w:asciiTheme="minorHAnsi" w:hAnsiTheme="minorHAnsi"/>
                <w:sz w:val="22"/>
                <w:szCs w:val="22"/>
              </w:rPr>
              <w:t xml:space="preserve">sous prétexte </w:t>
            </w:r>
            <w:r w:rsidR="76ACBDCB" w:rsidRPr="7F1B925E">
              <w:rPr>
                <w:rFonts w:asciiTheme="minorHAnsi" w:hAnsiTheme="minorHAnsi"/>
                <w:sz w:val="22"/>
                <w:szCs w:val="22"/>
              </w:rPr>
              <w:t>que cela ser</w:t>
            </w:r>
            <w:r w:rsidR="39D1B525" w:rsidRPr="7F1B925E">
              <w:rPr>
                <w:rFonts w:asciiTheme="minorHAnsi" w:hAnsiTheme="minorHAnsi"/>
                <w:sz w:val="22"/>
                <w:szCs w:val="22"/>
              </w:rPr>
              <w:t>t</w:t>
            </w:r>
            <w:r w:rsidR="76ACBDCB" w:rsidRPr="7F1B925E">
              <w:rPr>
                <w:rFonts w:asciiTheme="minorHAnsi" w:hAnsiTheme="minorHAnsi"/>
                <w:sz w:val="22"/>
                <w:szCs w:val="22"/>
              </w:rPr>
              <w:t xml:space="preserve"> à améliorer les salaires et les conditions de travail des </w:t>
            </w:r>
            <w:r w:rsidR="369C4C3D" w:rsidRPr="7F1B925E">
              <w:rPr>
                <w:rFonts w:asciiTheme="minorHAnsi" w:hAnsiTheme="minorHAnsi"/>
                <w:sz w:val="22"/>
                <w:szCs w:val="22"/>
              </w:rPr>
              <w:t>aides-ménager.es</w:t>
            </w:r>
            <w:r w:rsidR="76ACBDCB" w:rsidRPr="7F1B925E">
              <w:rPr>
                <w:rFonts w:asciiTheme="minorHAnsi" w:hAnsiTheme="minorHAnsi"/>
                <w:sz w:val="22"/>
                <w:szCs w:val="22"/>
              </w:rPr>
              <w:t>.</w:t>
            </w:r>
            <w:r w:rsidR="0A2C4CDC" w:rsidRPr="7F1B925E">
              <w:rPr>
                <w:rFonts w:asciiTheme="minorHAnsi" w:hAnsiTheme="minorHAnsi"/>
                <w:sz w:val="22"/>
                <w:szCs w:val="22"/>
              </w:rPr>
              <w:t xml:space="preserve"> Ce qui </w:t>
            </w:r>
            <w:r w:rsidR="0A08CAF9" w:rsidRPr="7F1B925E">
              <w:rPr>
                <w:rFonts w:asciiTheme="minorHAnsi" w:hAnsiTheme="minorHAnsi"/>
                <w:sz w:val="22"/>
                <w:szCs w:val="22"/>
              </w:rPr>
              <w:t>n’est bien évidemment pas le cas !</w:t>
            </w:r>
          </w:p>
          <w:p w14:paraId="570DDAAB" w14:textId="449AE537" w:rsidR="008F6C46" w:rsidRPr="0054097D" w:rsidRDefault="008F6C46" w:rsidP="6EC6074B">
            <w:pPr>
              <w:ind w:left="57" w:right="46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951413B" w14:textId="0489AC0D" w:rsidR="008F6C46" w:rsidRPr="0054097D" w:rsidRDefault="008F6C46" w:rsidP="7F1B925E">
            <w:pPr>
              <w:ind w:left="57" w:right="46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7F1B925E">
              <w:rPr>
                <w:rFonts w:asciiTheme="minorHAnsi" w:hAnsiTheme="minorHAnsi"/>
                <w:sz w:val="22"/>
                <w:szCs w:val="22"/>
              </w:rPr>
              <w:t>Nous demandons une réforme fondamentale du secteur</w:t>
            </w:r>
            <w:r w:rsidR="00202FD8" w:rsidRPr="7F1B925E">
              <w:rPr>
                <w:rFonts w:asciiTheme="minorHAnsi" w:hAnsiTheme="minorHAnsi"/>
                <w:sz w:val="22"/>
                <w:szCs w:val="22"/>
              </w:rPr>
              <w:t> </w:t>
            </w:r>
            <w:r w:rsidRPr="7F1B925E">
              <w:rPr>
                <w:rFonts w:asciiTheme="minorHAnsi" w:hAnsiTheme="minorHAnsi"/>
                <w:sz w:val="22"/>
                <w:szCs w:val="22"/>
              </w:rPr>
              <w:t xml:space="preserve">: des entreprises qui font des bénéfices sur le dos de travailleurs et travailleuses </w:t>
            </w:r>
            <w:proofErr w:type="spellStart"/>
            <w:r w:rsidRPr="7F1B925E">
              <w:rPr>
                <w:rFonts w:asciiTheme="minorHAnsi" w:hAnsiTheme="minorHAnsi"/>
                <w:sz w:val="22"/>
                <w:szCs w:val="22"/>
              </w:rPr>
              <w:t>sous-payé·es</w:t>
            </w:r>
            <w:proofErr w:type="spellEnd"/>
            <w:r w:rsidRPr="7F1B925E">
              <w:rPr>
                <w:rFonts w:asciiTheme="minorHAnsi" w:hAnsiTheme="minorHAnsi"/>
                <w:sz w:val="22"/>
                <w:szCs w:val="22"/>
              </w:rPr>
              <w:t xml:space="preserve"> n</w:t>
            </w:r>
            <w:r w:rsidR="00202FD8" w:rsidRPr="7F1B925E">
              <w:rPr>
                <w:rFonts w:asciiTheme="minorHAnsi" w:hAnsiTheme="minorHAnsi"/>
                <w:sz w:val="22"/>
                <w:szCs w:val="22"/>
              </w:rPr>
              <w:t>’</w:t>
            </w:r>
            <w:r w:rsidRPr="7F1B925E">
              <w:rPr>
                <w:rFonts w:asciiTheme="minorHAnsi" w:hAnsiTheme="minorHAnsi"/>
                <w:sz w:val="22"/>
                <w:szCs w:val="22"/>
              </w:rPr>
              <w:t>ont pas leur place dans un secteur subventionné</w:t>
            </w:r>
            <w:r w:rsidR="006E3A75" w:rsidRPr="7F1B925E">
              <w:rPr>
                <w:rFonts w:asciiTheme="minorHAnsi" w:hAnsiTheme="minorHAnsi"/>
                <w:sz w:val="22"/>
                <w:szCs w:val="22"/>
              </w:rPr>
              <w:t xml:space="preserve"> à hauteur de 70% par de l’argent public</w:t>
            </w:r>
            <w:r w:rsidRPr="7F1B925E">
              <w:rPr>
                <w:rFonts w:asciiTheme="minorHAnsi" w:hAnsiTheme="minorHAnsi"/>
                <w:sz w:val="22"/>
                <w:szCs w:val="22"/>
              </w:rPr>
              <w:t>. Nous</w:t>
            </w:r>
            <w:r w:rsidR="00202FD8" w:rsidRPr="7F1B925E">
              <w:rPr>
                <w:rFonts w:asciiTheme="minorHAnsi" w:hAnsiTheme="minorHAnsi"/>
                <w:sz w:val="22"/>
                <w:szCs w:val="22"/>
              </w:rPr>
              <w:t> </w:t>
            </w:r>
            <w:r w:rsidRPr="7F1B925E">
              <w:rPr>
                <w:rFonts w:asciiTheme="minorHAnsi" w:hAnsiTheme="minorHAnsi"/>
                <w:sz w:val="22"/>
                <w:szCs w:val="22"/>
              </w:rPr>
              <w:t xml:space="preserve">constatons que les ASBL et les petites entreprises du secteur </w:t>
            </w:r>
            <w:r w:rsidR="007A72AF" w:rsidRPr="7F1B925E">
              <w:rPr>
                <w:rFonts w:asciiTheme="minorHAnsi" w:hAnsiTheme="minorHAnsi"/>
                <w:sz w:val="22"/>
                <w:szCs w:val="22"/>
              </w:rPr>
              <w:t>offre</w:t>
            </w:r>
            <w:r w:rsidR="009A514A" w:rsidRPr="7F1B925E">
              <w:rPr>
                <w:rFonts w:asciiTheme="minorHAnsi" w:hAnsiTheme="minorHAnsi"/>
                <w:sz w:val="22"/>
                <w:szCs w:val="22"/>
              </w:rPr>
              <w:t xml:space="preserve">nt </w:t>
            </w:r>
            <w:r w:rsidR="007A72AF" w:rsidRPr="7F1B925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7F1B925E">
              <w:rPr>
                <w:rFonts w:asciiTheme="minorHAnsi" w:hAnsiTheme="minorHAnsi"/>
                <w:sz w:val="22"/>
                <w:szCs w:val="22"/>
              </w:rPr>
              <w:t xml:space="preserve">souvent </w:t>
            </w:r>
            <w:r w:rsidR="009A514A" w:rsidRPr="7F1B925E">
              <w:rPr>
                <w:rFonts w:asciiTheme="minorHAnsi" w:hAnsiTheme="minorHAnsi"/>
                <w:sz w:val="22"/>
                <w:szCs w:val="22"/>
              </w:rPr>
              <w:t xml:space="preserve">de meilleures conditions à </w:t>
            </w:r>
            <w:r w:rsidRPr="7F1B925E">
              <w:rPr>
                <w:rFonts w:asciiTheme="minorHAnsi" w:hAnsiTheme="minorHAnsi"/>
                <w:sz w:val="22"/>
                <w:szCs w:val="22"/>
              </w:rPr>
              <w:t>leur personnel. Nous</w:t>
            </w:r>
            <w:r w:rsidR="00202FD8" w:rsidRPr="7F1B925E">
              <w:rPr>
                <w:rFonts w:asciiTheme="minorHAnsi" w:hAnsiTheme="minorHAnsi"/>
                <w:sz w:val="22"/>
                <w:szCs w:val="22"/>
              </w:rPr>
              <w:t> </w:t>
            </w:r>
            <w:r w:rsidRPr="7F1B925E">
              <w:rPr>
                <w:rFonts w:asciiTheme="minorHAnsi" w:hAnsiTheme="minorHAnsi"/>
                <w:sz w:val="22"/>
                <w:szCs w:val="22"/>
              </w:rPr>
              <w:t xml:space="preserve">demandons aux autorités régionales de réexaminer la situation et </w:t>
            </w:r>
            <w:r w:rsidRPr="7F1B925E">
              <w:rPr>
                <w:rFonts w:asciiTheme="minorHAnsi" w:hAnsiTheme="minorHAnsi"/>
                <w:sz w:val="22"/>
                <w:szCs w:val="22"/>
              </w:rPr>
              <w:lastRenderedPageBreak/>
              <w:t>de revenir aux objectifs initiaux</w:t>
            </w:r>
            <w:r w:rsidR="00202FD8" w:rsidRPr="7F1B925E">
              <w:rPr>
                <w:rFonts w:asciiTheme="minorHAnsi" w:hAnsiTheme="minorHAnsi"/>
                <w:sz w:val="22"/>
                <w:szCs w:val="22"/>
              </w:rPr>
              <w:t> </w:t>
            </w:r>
            <w:r w:rsidRPr="7F1B925E">
              <w:rPr>
                <w:rFonts w:asciiTheme="minorHAnsi" w:hAnsiTheme="minorHAnsi"/>
                <w:sz w:val="22"/>
                <w:szCs w:val="22"/>
              </w:rPr>
              <w:t>: la</w:t>
            </w:r>
            <w:r w:rsidR="00202FD8" w:rsidRPr="7F1B925E">
              <w:rPr>
                <w:rFonts w:asciiTheme="minorHAnsi" w:hAnsiTheme="minorHAnsi"/>
                <w:sz w:val="22"/>
                <w:szCs w:val="22"/>
              </w:rPr>
              <w:t> </w:t>
            </w:r>
            <w:r w:rsidRPr="7F1B925E">
              <w:rPr>
                <w:rFonts w:asciiTheme="minorHAnsi" w:hAnsiTheme="minorHAnsi"/>
                <w:sz w:val="22"/>
                <w:szCs w:val="22"/>
              </w:rPr>
              <w:t>création d</w:t>
            </w:r>
            <w:r w:rsidR="00202FD8" w:rsidRPr="7F1B925E">
              <w:rPr>
                <w:rFonts w:asciiTheme="minorHAnsi" w:hAnsiTheme="minorHAnsi"/>
                <w:sz w:val="22"/>
                <w:szCs w:val="22"/>
              </w:rPr>
              <w:t>’</w:t>
            </w:r>
            <w:r w:rsidRPr="7F1B925E">
              <w:rPr>
                <w:rFonts w:asciiTheme="minorHAnsi" w:hAnsiTheme="minorHAnsi"/>
                <w:sz w:val="22"/>
                <w:szCs w:val="22"/>
              </w:rPr>
              <w:t>emplois qualitatifs, locaux et durables doit être la priorité, et non pas l</w:t>
            </w:r>
            <w:r w:rsidR="00895469" w:rsidRPr="7F1B925E">
              <w:rPr>
                <w:rFonts w:asciiTheme="minorHAnsi" w:hAnsiTheme="minorHAnsi"/>
                <w:sz w:val="22"/>
                <w:szCs w:val="22"/>
              </w:rPr>
              <w:t xml:space="preserve">’ enrichissement de </w:t>
            </w:r>
            <w:r w:rsidR="23AFDDD2" w:rsidRPr="7F1B925E">
              <w:rPr>
                <w:rFonts w:asciiTheme="minorHAnsi" w:hAnsiTheme="minorHAnsi"/>
                <w:sz w:val="22"/>
                <w:szCs w:val="22"/>
              </w:rPr>
              <w:t>quelques-uns</w:t>
            </w:r>
            <w:r w:rsidR="00895469" w:rsidRPr="7F1B925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7F1B925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15ECF03" w14:textId="77777777" w:rsidR="00F441CF" w:rsidRPr="00202FD8" w:rsidRDefault="00F441CF" w:rsidP="0018793A">
            <w:pPr>
              <w:ind w:left="57" w:right="46"/>
              <w:jc w:val="both"/>
              <w:rPr>
                <w:rFonts w:asciiTheme="minorHAnsi" w:hAnsiTheme="minorHAnsi" w:cstheme="minorHAnsi"/>
              </w:rPr>
            </w:pPr>
          </w:p>
          <w:p w14:paraId="557B2316" w14:textId="4B11D623" w:rsidR="000548EC" w:rsidRDefault="00D12FAF" w:rsidP="0ED78CD0">
            <w:pPr>
              <w:ind w:left="57" w:right="46"/>
              <w:jc w:val="both"/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l</w:t>
            </w:r>
            <w:r w:rsidR="56031154">
              <w:rPr>
                <w:rFonts w:asciiTheme="minorHAnsi" w:hAnsiTheme="minorHAnsi"/>
                <w:b/>
              </w:rPr>
              <w:t xml:space="preserve">es </w:t>
            </w:r>
            <w:proofErr w:type="spellStart"/>
            <w:r w:rsidR="56031154">
              <w:rPr>
                <w:rFonts w:asciiTheme="minorHAnsi" w:hAnsiTheme="minorHAnsi"/>
                <w:b/>
              </w:rPr>
              <w:t>aides-ménager∙es</w:t>
            </w:r>
            <w:proofErr w:type="spellEnd"/>
            <w:r w:rsidR="56031154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 xml:space="preserve">n’acceptent plus de devoir </w:t>
            </w:r>
            <w:r w:rsidR="56031154">
              <w:rPr>
                <w:rFonts w:asciiTheme="minorHAnsi" w:hAnsiTheme="minorHAnsi"/>
                <w:b/>
              </w:rPr>
              <w:t>payer pour travailler</w:t>
            </w:r>
            <w:r w:rsidR="00202FD8">
              <w:rPr>
                <w:rFonts w:asciiTheme="minorHAnsi" w:hAnsiTheme="minorHAnsi"/>
                <w:b/>
              </w:rPr>
              <w:t> </w:t>
            </w:r>
            <w:r w:rsidR="56031154">
              <w:rPr>
                <w:rFonts w:asciiTheme="minorHAnsi" w:hAnsiTheme="minorHAnsi"/>
                <w:b/>
              </w:rPr>
              <w:t>!</w:t>
            </w:r>
          </w:p>
          <w:p w14:paraId="759EB408" w14:textId="16329EC6" w:rsidR="00B5126C" w:rsidRDefault="00295BD9" w:rsidP="0018793A">
            <w:pPr>
              <w:ind w:left="57" w:right="46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 xml:space="preserve">Les </w:t>
            </w:r>
            <w:proofErr w:type="spellStart"/>
            <w:r>
              <w:rPr>
                <w:rFonts w:asciiTheme="minorHAnsi" w:hAnsiTheme="minorHAnsi"/>
                <w:b/>
              </w:rPr>
              <w:t>aides-ménager∙es</w:t>
            </w:r>
            <w:proofErr w:type="spellEnd"/>
            <w:r>
              <w:rPr>
                <w:rFonts w:asciiTheme="minorHAnsi" w:hAnsiTheme="minorHAnsi"/>
                <w:b/>
              </w:rPr>
              <w:t xml:space="preserve"> méritent plus de respect, un salaire digne et de bonnes conditions de travail</w:t>
            </w:r>
            <w:r w:rsidR="00202FD8">
              <w:rPr>
                <w:rFonts w:asciiTheme="minorHAnsi" w:hAnsiTheme="minorHAnsi"/>
                <w:b/>
              </w:rPr>
              <w:t> </w:t>
            </w:r>
            <w:r>
              <w:rPr>
                <w:rFonts w:asciiTheme="minorHAnsi" w:hAnsiTheme="minorHAnsi"/>
                <w:b/>
              </w:rPr>
              <w:t>!</w:t>
            </w:r>
          </w:p>
          <w:p w14:paraId="42D1ECCB" w14:textId="2B535914" w:rsidR="006F6F30" w:rsidRDefault="009E7759" w:rsidP="7F1B925E">
            <w:pPr>
              <w:ind w:left="57" w:right="46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La semaine prochaine, </w:t>
            </w:r>
            <w:r w:rsidR="005501C5" w:rsidRPr="7F1B925E">
              <w:rPr>
                <w:rFonts w:asciiTheme="minorHAnsi" w:hAnsiTheme="minorHAnsi"/>
                <w:b/>
                <w:bCs/>
              </w:rPr>
              <w:t xml:space="preserve">nous </w:t>
            </w:r>
            <w:r>
              <w:rPr>
                <w:rFonts w:asciiTheme="minorHAnsi" w:hAnsiTheme="minorHAnsi"/>
                <w:b/>
                <w:bCs/>
              </w:rPr>
              <w:t>commencerons</w:t>
            </w:r>
            <w:r w:rsidR="683DD9EA" w:rsidRPr="7F1B925E">
              <w:rPr>
                <w:rFonts w:asciiTheme="minorHAnsi" w:hAnsiTheme="minorHAnsi"/>
                <w:b/>
                <w:bCs/>
              </w:rPr>
              <w:t xml:space="preserve"> </w:t>
            </w:r>
            <w:r w:rsidR="005501C5" w:rsidRPr="7F1B925E">
              <w:rPr>
                <w:rFonts w:asciiTheme="minorHAnsi" w:hAnsiTheme="minorHAnsi"/>
                <w:b/>
                <w:bCs/>
              </w:rPr>
              <w:t xml:space="preserve">le grand nettoyage du secteur. </w:t>
            </w:r>
          </w:p>
          <w:p w14:paraId="6E08B642" w14:textId="76755013" w:rsidR="00DF1860" w:rsidRDefault="00E068B0" w:rsidP="000565F7">
            <w:pPr>
              <w:ind w:right="46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Le lieu reste encore secret, mais nous le communiquerons quelques heures avant l’action. </w:t>
            </w:r>
          </w:p>
          <w:p w14:paraId="431720C4" w14:textId="77777777" w:rsidR="00DF1860" w:rsidRDefault="00DF1860" w:rsidP="7F1B925E">
            <w:pPr>
              <w:ind w:left="57" w:right="46"/>
              <w:jc w:val="both"/>
              <w:rPr>
                <w:rFonts w:asciiTheme="minorHAnsi" w:hAnsiTheme="minorHAnsi" w:cstheme="minorBidi"/>
                <w:b/>
                <w:bCs/>
              </w:rPr>
            </w:pPr>
          </w:p>
          <w:p w14:paraId="018B5B68" w14:textId="2D482098" w:rsidR="00DF1860" w:rsidRPr="0029554D" w:rsidRDefault="00DF1860" w:rsidP="7F1B925E">
            <w:pPr>
              <w:ind w:left="57" w:right="46"/>
              <w:jc w:val="both"/>
              <w:rPr>
                <w:rFonts w:asciiTheme="minorHAnsi" w:hAnsiTheme="minorHAnsi" w:cstheme="minorBidi"/>
                <w:b/>
                <w:bCs/>
              </w:rPr>
            </w:pPr>
          </w:p>
        </w:tc>
      </w:tr>
      <w:tr w:rsidR="00F47166" w:rsidRPr="00BD4BF8" w14:paraId="4B530E1F" w14:textId="77777777" w:rsidTr="7F1B925E">
        <w:trPr>
          <w:trHeight w:val="1692"/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7853F" w14:textId="1C8FCD1F" w:rsidR="00F47166" w:rsidRPr="004245D7" w:rsidRDefault="00F47166" w:rsidP="004F3C0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4245D7">
              <w:rPr>
                <w:rFonts w:asciiTheme="minorHAnsi" w:hAnsiTheme="minorHAnsi"/>
                <w:b/>
                <w:sz w:val="22"/>
                <w:lang w:val="nl-BE"/>
              </w:rPr>
              <w:lastRenderedPageBreak/>
              <w:t>Commentaires</w:t>
            </w:r>
            <w:r w:rsidR="00202FD8" w:rsidRPr="004245D7">
              <w:rPr>
                <w:rFonts w:asciiTheme="minorHAnsi" w:hAnsiTheme="minorHAnsi"/>
                <w:b/>
                <w:sz w:val="22"/>
                <w:lang w:val="nl-BE"/>
              </w:rPr>
              <w:t> :</w:t>
            </w:r>
          </w:p>
          <w:p w14:paraId="5301B7B7" w14:textId="6253D7B0" w:rsidR="004245D7" w:rsidRDefault="004245D7" w:rsidP="004245D7">
            <w:pPr>
              <w:spacing w:line="276" w:lineRule="auto"/>
              <w:rPr>
                <w:rFonts w:ascii="Arial Narrow" w:hAnsi="Arial Narrow" w:cs="Calibri"/>
                <w:sz w:val="22"/>
                <w:szCs w:val="22"/>
                <w:lang w:val="nl-BE"/>
              </w:rPr>
            </w:pPr>
            <w:r>
              <w:rPr>
                <w:rFonts w:ascii="Arial Narrow" w:hAnsi="Arial Narrow" w:cs="Calibri"/>
                <w:b/>
                <w:bCs/>
                <w:sz w:val="22"/>
                <w:szCs w:val="22"/>
                <w:lang w:val="nl-BE"/>
              </w:rPr>
              <w:t xml:space="preserve">FGTB : </w:t>
            </w:r>
            <w:r w:rsidR="00BD4BF8" w:rsidRPr="00BD4BF8">
              <w:rPr>
                <w:rFonts w:ascii="Arial Narrow" w:hAnsi="Arial Narrow" w:cs="Calibri"/>
                <w:sz w:val="22"/>
                <w:szCs w:val="22"/>
                <w:lang w:val="nl-BE"/>
              </w:rPr>
              <w:t>Tangui Cornu</w:t>
            </w:r>
            <w:r>
              <w:rPr>
                <w:rFonts w:ascii="Arial Narrow" w:hAnsi="Arial Narrow" w:cs="Calibri"/>
                <w:sz w:val="22"/>
                <w:szCs w:val="22"/>
                <w:lang w:val="nl-BE"/>
              </w:rPr>
              <w:t xml:space="preserve"> </w:t>
            </w:r>
            <w:r w:rsidR="00BD4BF8">
              <w:rPr>
                <w:rFonts w:ascii="Arial Narrow" w:hAnsi="Arial Narrow" w:cs="Calibri"/>
                <w:sz w:val="22"/>
                <w:szCs w:val="22"/>
                <w:lang w:val="nl-BE"/>
              </w:rPr>
              <w:t>–</w:t>
            </w:r>
            <w:r>
              <w:rPr>
                <w:rFonts w:ascii="Arial Narrow" w:hAnsi="Arial Narrow" w:cs="Calibri"/>
                <w:sz w:val="22"/>
                <w:szCs w:val="22"/>
                <w:lang w:val="nl-BE"/>
              </w:rPr>
              <w:t xml:space="preserve"> </w:t>
            </w:r>
            <w:r w:rsidR="00BD4BF8">
              <w:rPr>
                <w:rFonts w:ascii="Arial Narrow" w:hAnsi="Arial Narrow" w:cs="Calibri"/>
                <w:sz w:val="22"/>
                <w:szCs w:val="22"/>
                <w:lang w:val="nl-BE"/>
              </w:rPr>
              <w:t>0475 42 65 68</w:t>
            </w:r>
          </w:p>
          <w:p w14:paraId="03F1C61E" w14:textId="77777777" w:rsidR="004245D7" w:rsidRDefault="004245D7" w:rsidP="004245D7">
            <w:pPr>
              <w:spacing w:line="276" w:lineRule="auto"/>
              <w:rPr>
                <w:rFonts w:ascii="Arial Narrow" w:hAnsi="Arial Narrow" w:cs="Calibri"/>
                <w:sz w:val="22"/>
                <w:szCs w:val="22"/>
                <w:highlight w:val="yellow"/>
                <w:lang w:val="nl-BE"/>
              </w:rPr>
            </w:pPr>
            <w:r>
              <w:rPr>
                <w:rFonts w:ascii="Arial Narrow" w:hAnsi="Arial Narrow" w:cs="Calibri"/>
                <w:b/>
                <w:bCs/>
                <w:sz w:val="22"/>
                <w:szCs w:val="22"/>
                <w:lang w:val="nl-BE"/>
              </w:rPr>
              <w:t>CSC</w:t>
            </w:r>
            <w:r>
              <w:rPr>
                <w:rFonts w:ascii="Arial Narrow" w:hAnsi="Arial Narrow" w:cs="Calibri"/>
                <w:sz w:val="22"/>
                <w:szCs w:val="22"/>
                <w:lang w:val="nl-BE"/>
              </w:rPr>
              <w:t>: Kris Vanautgaerden – nationaal secretaris ACV Voeding en Diensten – 0479 94 70 87</w:t>
            </w:r>
          </w:p>
          <w:p w14:paraId="52E8E2D6" w14:textId="6D4A302E" w:rsidR="00F47166" w:rsidRPr="004245D7" w:rsidRDefault="004245D7" w:rsidP="004245D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>
              <w:rPr>
                <w:rFonts w:ascii="Arial Narrow" w:hAnsi="Arial Narrow" w:cs="Calibri"/>
                <w:b/>
                <w:bCs/>
                <w:sz w:val="22"/>
                <w:szCs w:val="22"/>
                <w:lang w:val="nl-BE"/>
              </w:rPr>
              <w:t>CGSLB</w:t>
            </w:r>
            <w:r>
              <w:rPr>
                <w:rFonts w:ascii="Arial Narrow" w:hAnsi="Arial Narrow" w:cs="Calibri"/>
                <w:sz w:val="22"/>
                <w:szCs w:val="22"/>
                <w:lang w:val="nl-BE"/>
              </w:rPr>
              <w:t>: Tommy Jonckheere – nationaal sectoraal verantwoordelijke – 0476 88 36 91</w:t>
            </w:r>
          </w:p>
        </w:tc>
      </w:tr>
      <w:tr w:rsidR="002B0A84" w:rsidRPr="00BD4BF8" w14:paraId="73A91765" w14:textId="77777777" w:rsidTr="7F1B925E">
        <w:trPr>
          <w:jc w:val="center"/>
        </w:trPr>
        <w:tc>
          <w:tcPr>
            <w:tcW w:w="10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1A80F" w14:textId="63DE3511" w:rsidR="002B0A84" w:rsidRPr="004245D7" w:rsidRDefault="002B0A84" w:rsidP="009D2253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</w:tr>
    </w:tbl>
    <w:p w14:paraId="38F376A0" w14:textId="77777777" w:rsidR="00DE49EA" w:rsidRPr="004245D7" w:rsidRDefault="00DE49EA" w:rsidP="008667DA">
      <w:pPr>
        <w:ind w:right="1260"/>
        <w:rPr>
          <w:rFonts w:asciiTheme="minorHAnsi" w:hAnsiTheme="minorHAnsi" w:cstheme="minorHAnsi"/>
          <w:sz w:val="22"/>
          <w:szCs w:val="22"/>
          <w:lang w:val="nl-BE"/>
        </w:rPr>
      </w:pPr>
    </w:p>
    <w:sectPr w:rsidR="00DE49EA" w:rsidRPr="004245D7" w:rsidSect="0012538D">
      <w:pgSz w:w="11906" w:h="16838"/>
      <w:pgMar w:top="284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102C"/>
    <w:multiLevelType w:val="hybridMultilevel"/>
    <w:tmpl w:val="0B9A5E4E"/>
    <w:lvl w:ilvl="0" w:tplc="ABCE7C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B44A8"/>
    <w:multiLevelType w:val="hybridMultilevel"/>
    <w:tmpl w:val="41609620"/>
    <w:lvl w:ilvl="0" w:tplc="CE308C0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240F4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6806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E870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CA6D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503B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9424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886C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36FF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F021E"/>
    <w:multiLevelType w:val="hybridMultilevel"/>
    <w:tmpl w:val="BBF06E44"/>
    <w:lvl w:ilvl="0" w:tplc="0813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23A242D2"/>
    <w:multiLevelType w:val="hybridMultilevel"/>
    <w:tmpl w:val="5AF613BA"/>
    <w:lvl w:ilvl="0" w:tplc="4290DA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73212"/>
    <w:multiLevelType w:val="hybridMultilevel"/>
    <w:tmpl w:val="450C55DE"/>
    <w:lvl w:ilvl="0" w:tplc="88349B0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A1C8F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22A8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2261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0E02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8CF6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EC53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3274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5C64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C5D39"/>
    <w:multiLevelType w:val="hybridMultilevel"/>
    <w:tmpl w:val="C40A594C"/>
    <w:lvl w:ilvl="0" w:tplc="FEB61884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40DB6"/>
    <w:multiLevelType w:val="multilevel"/>
    <w:tmpl w:val="83C6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11C0329"/>
    <w:multiLevelType w:val="hybridMultilevel"/>
    <w:tmpl w:val="953450A0"/>
    <w:lvl w:ilvl="0" w:tplc="3D74F520">
      <w:numFmt w:val="bullet"/>
      <w:lvlText w:val="-"/>
      <w:lvlJc w:val="left"/>
      <w:pPr>
        <w:ind w:left="394" w:hanging="360"/>
      </w:pPr>
      <w:rPr>
        <w:rFonts w:ascii="Calibri" w:eastAsia="Times New Roman" w:hAnsi="Calibri" w:cs="Calibri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61373A94"/>
    <w:multiLevelType w:val="hybridMultilevel"/>
    <w:tmpl w:val="227405A0"/>
    <w:lvl w:ilvl="0" w:tplc="9C50196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A43B38"/>
    <w:multiLevelType w:val="hybridMultilevel"/>
    <w:tmpl w:val="0D3638EC"/>
    <w:lvl w:ilvl="0" w:tplc="0C9AF1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6871B9"/>
    <w:multiLevelType w:val="hybridMultilevel"/>
    <w:tmpl w:val="E79AB7C8"/>
    <w:lvl w:ilvl="0" w:tplc="90EEA19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5"/>
  </w:num>
  <w:num w:numId="7">
    <w:abstractNumId w:val="0"/>
  </w:num>
  <w:num w:numId="8">
    <w:abstractNumId w:val="6"/>
  </w:num>
  <w:num w:numId="9">
    <w:abstractNumId w:val="0"/>
  </w:num>
  <w:num w:numId="10">
    <w:abstractNumId w:val="5"/>
  </w:num>
  <w:num w:numId="11">
    <w:abstractNumId w:val="7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F30"/>
    <w:rsid w:val="0000142D"/>
    <w:rsid w:val="00003791"/>
    <w:rsid w:val="000052FD"/>
    <w:rsid w:val="00006D35"/>
    <w:rsid w:val="00010DB0"/>
    <w:rsid w:val="00011C80"/>
    <w:rsid w:val="00022DCE"/>
    <w:rsid w:val="00022EC9"/>
    <w:rsid w:val="000248FB"/>
    <w:rsid w:val="00025F6A"/>
    <w:rsid w:val="000322AC"/>
    <w:rsid w:val="00042152"/>
    <w:rsid w:val="00042286"/>
    <w:rsid w:val="00042941"/>
    <w:rsid w:val="00045085"/>
    <w:rsid w:val="00047691"/>
    <w:rsid w:val="000506CB"/>
    <w:rsid w:val="000548EC"/>
    <w:rsid w:val="000565F7"/>
    <w:rsid w:val="00057B1C"/>
    <w:rsid w:val="00061033"/>
    <w:rsid w:val="00064BED"/>
    <w:rsid w:val="000676E3"/>
    <w:rsid w:val="000752A8"/>
    <w:rsid w:val="00080343"/>
    <w:rsid w:val="0009460F"/>
    <w:rsid w:val="0009638D"/>
    <w:rsid w:val="000A7424"/>
    <w:rsid w:val="000B4395"/>
    <w:rsid w:val="000B7219"/>
    <w:rsid w:val="000D7272"/>
    <w:rsid w:val="000E385F"/>
    <w:rsid w:val="000F211D"/>
    <w:rsid w:val="000F6FA3"/>
    <w:rsid w:val="001006BC"/>
    <w:rsid w:val="0010141C"/>
    <w:rsid w:val="00110182"/>
    <w:rsid w:val="00110562"/>
    <w:rsid w:val="001133FD"/>
    <w:rsid w:val="001165CB"/>
    <w:rsid w:val="00117181"/>
    <w:rsid w:val="00121FB3"/>
    <w:rsid w:val="0012538D"/>
    <w:rsid w:val="00134FDE"/>
    <w:rsid w:val="0013550B"/>
    <w:rsid w:val="00137A26"/>
    <w:rsid w:val="00137F7C"/>
    <w:rsid w:val="00145FDF"/>
    <w:rsid w:val="00150BFB"/>
    <w:rsid w:val="0015299B"/>
    <w:rsid w:val="00154404"/>
    <w:rsid w:val="001567B1"/>
    <w:rsid w:val="00164C53"/>
    <w:rsid w:val="00165B79"/>
    <w:rsid w:val="00175A71"/>
    <w:rsid w:val="00177E8C"/>
    <w:rsid w:val="0018793A"/>
    <w:rsid w:val="00192559"/>
    <w:rsid w:val="001938E0"/>
    <w:rsid w:val="00197084"/>
    <w:rsid w:val="001A2839"/>
    <w:rsid w:val="001B2DA4"/>
    <w:rsid w:val="001C0B49"/>
    <w:rsid w:val="001C0B76"/>
    <w:rsid w:val="001C20FF"/>
    <w:rsid w:val="001C598B"/>
    <w:rsid w:val="001D10F3"/>
    <w:rsid w:val="001D3935"/>
    <w:rsid w:val="001D687A"/>
    <w:rsid w:val="001E32B4"/>
    <w:rsid w:val="001E367A"/>
    <w:rsid w:val="001F0A17"/>
    <w:rsid w:val="001F2CF3"/>
    <w:rsid w:val="001F3DA9"/>
    <w:rsid w:val="001F4AC2"/>
    <w:rsid w:val="00200CA6"/>
    <w:rsid w:val="00202FD8"/>
    <w:rsid w:val="00211C59"/>
    <w:rsid w:val="00211DF1"/>
    <w:rsid w:val="002202C9"/>
    <w:rsid w:val="002223D8"/>
    <w:rsid w:val="0022759F"/>
    <w:rsid w:val="00227EC7"/>
    <w:rsid w:val="002420F7"/>
    <w:rsid w:val="002425DF"/>
    <w:rsid w:val="0024282F"/>
    <w:rsid w:val="00242B1C"/>
    <w:rsid w:val="0024541C"/>
    <w:rsid w:val="00246C0B"/>
    <w:rsid w:val="0024758B"/>
    <w:rsid w:val="00251888"/>
    <w:rsid w:val="002525E5"/>
    <w:rsid w:val="00252DE8"/>
    <w:rsid w:val="00254D0D"/>
    <w:rsid w:val="00255296"/>
    <w:rsid w:val="00255823"/>
    <w:rsid w:val="0028060C"/>
    <w:rsid w:val="00284780"/>
    <w:rsid w:val="0028636B"/>
    <w:rsid w:val="00286FB8"/>
    <w:rsid w:val="0029060E"/>
    <w:rsid w:val="00291477"/>
    <w:rsid w:val="0029554D"/>
    <w:rsid w:val="00295BD9"/>
    <w:rsid w:val="002B0A84"/>
    <w:rsid w:val="002B1EF9"/>
    <w:rsid w:val="002C3699"/>
    <w:rsid w:val="002C39D6"/>
    <w:rsid w:val="002C6199"/>
    <w:rsid w:val="002D59BB"/>
    <w:rsid w:val="002D7840"/>
    <w:rsid w:val="002E23F6"/>
    <w:rsid w:val="002E62D5"/>
    <w:rsid w:val="002F554E"/>
    <w:rsid w:val="00304C24"/>
    <w:rsid w:val="00314BD3"/>
    <w:rsid w:val="00321234"/>
    <w:rsid w:val="00321DC0"/>
    <w:rsid w:val="00326E70"/>
    <w:rsid w:val="0032BCB7"/>
    <w:rsid w:val="00355363"/>
    <w:rsid w:val="003559F6"/>
    <w:rsid w:val="00357664"/>
    <w:rsid w:val="003637BB"/>
    <w:rsid w:val="00371E42"/>
    <w:rsid w:val="00374D19"/>
    <w:rsid w:val="0037766E"/>
    <w:rsid w:val="00380556"/>
    <w:rsid w:val="003A7380"/>
    <w:rsid w:val="003B2ECB"/>
    <w:rsid w:val="003B448F"/>
    <w:rsid w:val="003C0BEF"/>
    <w:rsid w:val="003C175B"/>
    <w:rsid w:val="003C39FF"/>
    <w:rsid w:val="003D350F"/>
    <w:rsid w:val="003D57FB"/>
    <w:rsid w:val="003D6BF5"/>
    <w:rsid w:val="003F01AB"/>
    <w:rsid w:val="003F17C4"/>
    <w:rsid w:val="003F6E15"/>
    <w:rsid w:val="00402133"/>
    <w:rsid w:val="00406FED"/>
    <w:rsid w:val="00413940"/>
    <w:rsid w:val="0041422A"/>
    <w:rsid w:val="00414A7D"/>
    <w:rsid w:val="0042393B"/>
    <w:rsid w:val="004245D7"/>
    <w:rsid w:val="0043367F"/>
    <w:rsid w:val="0043713C"/>
    <w:rsid w:val="00437FC8"/>
    <w:rsid w:val="004446AD"/>
    <w:rsid w:val="004536DF"/>
    <w:rsid w:val="00462E38"/>
    <w:rsid w:val="00464C27"/>
    <w:rsid w:val="00465469"/>
    <w:rsid w:val="00465F30"/>
    <w:rsid w:val="004A3C20"/>
    <w:rsid w:val="004A5F4A"/>
    <w:rsid w:val="004B4EBC"/>
    <w:rsid w:val="004B6C2B"/>
    <w:rsid w:val="004D26B6"/>
    <w:rsid w:val="004D5F79"/>
    <w:rsid w:val="004D7740"/>
    <w:rsid w:val="004F3C0F"/>
    <w:rsid w:val="004F53FE"/>
    <w:rsid w:val="004F6E53"/>
    <w:rsid w:val="004F6ED6"/>
    <w:rsid w:val="00503C6D"/>
    <w:rsid w:val="00503D93"/>
    <w:rsid w:val="00505260"/>
    <w:rsid w:val="00505A24"/>
    <w:rsid w:val="00507C2F"/>
    <w:rsid w:val="005152DE"/>
    <w:rsid w:val="00520B26"/>
    <w:rsid w:val="00521BDE"/>
    <w:rsid w:val="00534265"/>
    <w:rsid w:val="005343CC"/>
    <w:rsid w:val="00534C9E"/>
    <w:rsid w:val="0054097D"/>
    <w:rsid w:val="00543BD0"/>
    <w:rsid w:val="00544A76"/>
    <w:rsid w:val="005501C5"/>
    <w:rsid w:val="005550C0"/>
    <w:rsid w:val="00555916"/>
    <w:rsid w:val="005574C5"/>
    <w:rsid w:val="0056171A"/>
    <w:rsid w:val="00562A44"/>
    <w:rsid w:val="00562ADE"/>
    <w:rsid w:val="00566814"/>
    <w:rsid w:val="00570504"/>
    <w:rsid w:val="005714E6"/>
    <w:rsid w:val="005723A5"/>
    <w:rsid w:val="005906A9"/>
    <w:rsid w:val="00590FED"/>
    <w:rsid w:val="005A6014"/>
    <w:rsid w:val="005B7501"/>
    <w:rsid w:val="005B78E9"/>
    <w:rsid w:val="005C4AD3"/>
    <w:rsid w:val="005C773E"/>
    <w:rsid w:val="005D034D"/>
    <w:rsid w:val="005D0C6D"/>
    <w:rsid w:val="005D447D"/>
    <w:rsid w:val="005D7C75"/>
    <w:rsid w:val="005E0977"/>
    <w:rsid w:val="005E1385"/>
    <w:rsid w:val="00603E86"/>
    <w:rsid w:val="006040DF"/>
    <w:rsid w:val="00605D5A"/>
    <w:rsid w:val="00607B40"/>
    <w:rsid w:val="00623257"/>
    <w:rsid w:val="006323A3"/>
    <w:rsid w:val="00642459"/>
    <w:rsid w:val="00651D75"/>
    <w:rsid w:val="00652938"/>
    <w:rsid w:val="00655BC7"/>
    <w:rsid w:val="00695990"/>
    <w:rsid w:val="00696B8A"/>
    <w:rsid w:val="006E2A76"/>
    <w:rsid w:val="006E3A75"/>
    <w:rsid w:val="006E71D1"/>
    <w:rsid w:val="006E79EA"/>
    <w:rsid w:val="006F3BA2"/>
    <w:rsid w:val="006F6F30"/>
    <w:rsid w:val="00702710"/>
    <w:rsid w:val="0070518D"/>
    <w:rsid w:val="007129D4"/>
    <w:rsid w:val="007203B9"/>
    <w:rsid w:val="00720BCA"/>
    <w:rsid w:val="00721641"/>
    <w:rsid w:val="00732AC1"/>
    <w:rsid w:val="00732F85"/>
    <w:rsid w:val="0075148E"/>
    <w:rsid w:val="007609CC"/>
    <w:rsid w:val="00770691"/>
    <w:rsid w:val="00772DD8"/>
    <w:rsid w:val="007739F8"/>
    <w:rsid w:val="007778BA"/>
    <w:rsid w:val="00781D5B"/>
    <w:rsid w:val="00784AA6"/>
    <w:rsid w:val="0079003F"/>
    <w:rsid w:val="007A72AF"/>
    <w:rsid w:val="007C3146"/>
    <w:rsid w:val="007C715F"/>
    <w:rsid w:val="007D56CE"/>
    <w:rsid w:val="007E0AD2"/>
    <w:rsid w:val="007E10FE"/>
    <w:rsid w:val="007E12D7"/>
    <w:rsid w:val="007E3AEC"/>
    <w:rsid w:val="007E55DE"/>
    <w:rsid w:val="007E6864"/>
    <w:rsid w:val="007F2B50"/>
    <w:rsid w:val="007F7F02"/>
    <w:rsid w:val="00800B84"/>
    <w:rsid w:val="00810F02"/>
    <w:rsid w:val="00812306"/>
    <w:rsid w:val="00813001"/>
    <w:rsid w:val="00822117"/>
    <w:rsid w:val="00830603"/>
    <w:rsid w:val="008308CD"/>
    <w:rsid w:val="00840887"/>
    <w:rsid w:val="0084328A"/>
    <w:rsid w:val="00847F01"/>
    <w:rsid w:val="00851FEF"/>
    <w:rsid w:val="008551A4"/>
    <w:rsid w:val="00862997"/>
    <w:rsid w:val="008667DA"/>
    <w:rsid w:val="008715D7"/>
    <w:rsid w:val="0087251B"/>
    <w:rsid w:val="008750E4"/>
    <w:rsid w:val="00882A44"/>
    <w:rsid w:val="00895469"/>
    <w:rsid w:val="008A3A23"/>
    <w:rsid w:val="008A747D"/>
    <w:rsid w:val="008A7DE0"/>
    <w:rsid w:val="008B2EDA"/>
    <w:rsid w:val="008C3F1B"/>
    <w:rsid w:val="008C6957"/>
    <w:rsid w:val="008D25A9"/>
    <w:rsid w:val="008D44EE"/>
    <w:rsid w:val="008D47AB"/>
    <w:rsid w:val="008D4DC3"/>
    <w:rsid w:val="008E2C84"/>
    <w:rsid w:val="008E5E12"/>
    <w:rsid w:val="008E65DE"/>
    <w:rsid w:val="008F2593"/>
    <w:rsid w:val="008F66F9"/>
    <w:rsid w:val="008F6C46"/>
    <w:rsid w:val="00901F75"/>
    <w:rsid w:val="00910560"/>
    <w:rsid w:val="00913DFC"/>
    <w:rsid w:val="00917B11"/>
    <w:rsid w:val="0092036C"/>
    <w:rsid w:val="00925FC1"/>
    <w:rsid w:val="00933DD0"/>
    <w:rsid w:val="009362DD"/>
    <w:rsid w:val="00936582"/>
    <w:rsid w:val="0093787F"/>
    <w:rsid w:val="00940E3F"/>
    <w:rsid w:val="009467F1"/>
    <w:rsid w:val="0094695A"/>
    <w:rsid w:val="00956891"/>
    <w:rsid w:val="00963367"/>
    <w:rsid w:val="009633BD"/>
    <w:rsid w:val="00966C7B"/>
    <w:rsid w:val="0097339F"/>
    <w:rsid w:val="00984B0D"/>
    <w:rsid w:val="009857C9"/>
    <w:rsid w:val="00986307"/>
    <w:rsid w:val="00990480"/>
    <w:rsid w:val="00996CB1"/>
    <w:rsid w:val="009A13ED"/>
    <w:rsid w:val="009A514A"/>
    <w:rsid w:val="009A5CD8"/>
    <w:rsid w:val="009B03F8"/>
    <w:rsid w:val="009B22EF"/>
    <w:rsid w:val="009C244A"/>
    <w:rsid w:val="009D07D4"/>
    <w:rsid w:val="009D1CD9"/>
    <w:rsid w:val="009D2253"/>
    <w:rsid w:val="009E2BD9"/>
    <w:rsid w:val="009E41BB"/>
    <w:rsid w:val="009E43BE"/>
    <w:rsid w:val="009E7759"/>
    <w:rsid w:val="009F3785"/>
    <w:rsid w:val="009F46F6"/>
    <w:rsid w:val="009F52D2"/>
    <w:rsid w:val="00A03641"/>
    <w:rsid w:val="00A167FC"/>
    <w:rsid w:val="00A21819"/>
    <w:rsid w:val="00A249A1"/>
    <w:rsid w:val="00A2656B"/>
    <w:rsid w:val="00A27979"/>
    <w:rsid w:val="00A336FA"/>
    <w:rsid w:val="00A35CC6"/>
    <w:rsid w:val="00A50B7E"/>
    <w:rsid w:val="00A611AC"/>
    <w:rsid w:val="00A621EE"/>
    <w:rsid w:val="00A717C3"/>
    <w:rsid w:val="00A720D8"/>
    <w:rsid w:val="00A76E6F"/>
    <w:rsid w:val="00A810F3"/>
    <w:rsid w:val="00A87310"/>
    <w:rsid w:val="00A9091D"/>
    <w:rsid w:val="00AA4635"/>
    <w:rsid w:val="00AA59B5"/>
    <w:rsid w:val="00AB1F54"/>
    <w:rsid w:val="00AB7CAA"/>
    <w:rsid w:val="00AD7A93"/>
    <w:rsid w:val="00AE1D34"/>
    <w:rsid w:val="00AE54E7"/>
    <w:rsid w:val="00AE6CC3"/>
    <w:rsid w:val="00AF33E6"/>
    <w:rsid w:val="00AF3587"/>
    <w:rsid w:val="00AF429C"/>
    <w:rsid w:val="00AF4789"/>
    <w:rsid w:val="00B02B48"/>
    <w:rsid w:val="00B11488"/>
    <w:rsid w:val="00B21758"/>
    <w:rsid w:val="00B31F03"/>
    <w:rsid w:val="00B35384"/>
    <w:rsid w:val="00B44662"/>
    <w:rsid w:val="00B50472"/>
    <w:rsid w:val="00B5126C"/>
    <w:rsid w:val="00B5492A"/>
    <w:rsid w:val="00B577D7"/>
    <w:rsid w:val="00B70B23"/>
    <w:rsid w:val="00B846D6"/>
    <w:rsid w:val="00B92F8E"/>
    <w:rsid w:val="00B94866"/>
    <w:rsid w:val="00BB1229"/>
    <w:rsid w:val="00BC4C92"/>
    <w:rsid w:val="00BC572F"/>
    <w:rsid w:val="00BD146F"/>
    <w:rsid w:val="00BD4BF8"/>
    <w:rsid w:val="00BE57BA"/>
    <w:rsid w:val="00BF4D16"/>
    <w:rsid w:val="00BF5123"/>
    <w:rsid w:val="00BF726D"/>
    <w:rsid w:val="00C00F89"/>
    <w:rsid w:val="00C03FA0"/>
    <w:rsid w:val="00C05B35"/>
    <w:rsid w:val="00C26C8F"/>
    <w:rsid w:val="00C27071"/>
    <w:rsid w:val="00C31C2A"/>
    <w:rsid w:val="00C33A70"/>
    <w:rsid w:val="00C357DC"/>
    <w:rsid w:val="00C359DE"/>
    <w:rsid w:val="00C41867"/>
    <w:rsid w:val="00C42409"/>
    <w:rsid w:val="00C497E3"/>
    <w:rsid w:val="00C56339"/>
    <w:rsid w:val="00C60272"/>
    <w:rsid w:val="00C60E20"/>
    <w:rsid w:val="00C72BF8"/>
    <w:rsid w:val="00C72D3C"/>
    <w:rsid w:val="00C72FE3"/>
    <w:rsid w:val="00C836DD"/>
    <w:rsid w:val="00C9172D"/>
    <w:rsid w:val="00C93F9A"/>
    <w:rsid w:val="00C97F6A"/>
    <w:rsid w:val="00CB2528"/>
    <w:rsid w:val="00CC1813"/>
    <w:rsid w:val="00CD324F"/>
    <w:rsid w:val="00CD4681"/>
    <w:rsid w:val="00CE4AB0"/>
    <w:rsid w:val="00CE5F71"/>
    <w:rsid w:val="00CE646F"/>
    <w:rsid w:val="00CF0D7E"/>
    <w:rsid w:val="00D04268"/>
    <w:rsid w:val="00D04B81"/>
    <w:rsid w:val="00D12FAF"/>
    <w:rsid w:val="00D15424"/>
    <w:rsid w:val="00D15FDE"/>
    <w:rsid w:val="00D16F96"/>
    <w:rsid w:val="00D17A75"/>
    <w:rsid w:val="00D26B1B"/>
    <w:rsid w:val="00D27731"/>
    <w:rsid w:val="00D34829"/>
    <w:rsid w:val="00D35811"/>
    <w:rsid w:val="00D367B5"/>
    <w:rsid w:val="00D414DA"/>
    <w:rsid w:val="00D432D8"/>
    <w:rsid w:val="00D44925"/>
    <w:rsid w:val="00D5068E"/>
    <w:rsid w:val="00D643A8"/>
    <w:rsid w:val="00D65266"/>
    <w:rsid w:val="00D70E66"/>
    <w:rsid w:val="00D7278F"/>
    <w:rsid w:val="00D75D66"/>
    <w:rsid w:val="00D83178"/>
    <w:rsid w:val="00D92987"/>
    <w:rsid w:val="00D9460A"/>
    <w:rsid w:val="00DA0DA6"/>
    <w:rsid w:val="00DA3F20"/>
    <w:rsid w:val="00DA4530"/>
    <w:rsid w:val="00DC2B5F"/>
    <w:rsid w:val="00DD118B"/>
    <w:rsid w:val="00DD52A8"/>
    <w:rsid w:val="00DD7EAA"/>
    <w:rsid w:val="00DE020C"/>
    <w:rsid w:val="00DE093A"/>
    <w:rsid w:val="00DE43D1"/>
    <w:rsid w:val="00DE49EA"/>
    <w:rsid w:val="00DF1860"/>
    <w:rsid w:val="00DF217D"/>
    <w:rsid w:val="00DF38E4"/>
    <w:rsid w:val="00E068B0"/>
    <w:rsid w:val="00E151FB"/>
    <w:rsid w:val="00E26688"/>
    <w:rsid w:val="00E37327"/>
    <w:rsid w:val="00E40231"/>
    <w:rsid w:val="00E4071E"/>
    <w:rsid w:val="00E42EB0"/>
    <w:rsid w:val="00E46539"/>
    <w:rsid w:val="00E53861"/>
    <w:rsid w:val="00E5517E"/>
    <w:rsid w:val="00E57C11"/>
    <w:rsid w:val="00E71096"/>
    <w:rsid w:val="00E7651E"/>
    <w:rsid w:val="00E80B45"/>
    <w:rsid w:val="00E86EEF"/>
    <w:rsid w:val="00E87488"/>
    <w:rsid w:val="00E8767E"/>
    <w:rsid w:val="00EB23D2"/>
    <w:rsid w:val="00EC2EF3"/>
    <w:rsid w:val="00EC7FB3"/>
    <w:rsid w:val="00ED33C3"/>
    <w:rsid w:val="00ED68F4"/>
    <w:rsid w:val="00EE018F"/>
    <w:rsid w:val="00EE414E"/>
    <w:rsid w:val="00EF6D95"/>
    <w:rsid w:val="00F038D8"/>
    <w:rsid w:val="00F079A3"/>
    <w:rsid w:val="00F13D0A"/>
    <w:rsid w:val="00F17808"/>
    <w:rsid w:val="00F24160"/>
    <w:rsid w:val="00F35B94"/>
    <w:rsid w:val="00F41DE7"/>
    <w:rsid w:val="00F441CF"/>
    <w:rsid w:val="00F47166"/>
    <w:rsid w:val="00F63236"/>
    <w:rsid w:val="00F65263"/>
    <w:rsid w:val="00F72496"/>
    <w:rsid w:val="00F73A36"/>
    <w:rsid w:val="00F7438E"/>
    <w:rsid w:val="00F74643"/>
    <w:rsid w:val="00F75478"/>
    <w:rsid w:val="00F76DBD"/>
    <w:rsid w:val="00F91DE0"/>
    <w:rsid w:val="00F942CD"/>
    <w:rsid w:val="00F95077"/>
    <w:rsid w:val="00F97A94"/>
    <w:rsid w:val="00FB0CC1"/>
    <w:rsid w:val="00FB0E5E"/>
    <w:rsid w:val="00FB2837"/>
    <w:rsid w:val="00FB386F"/>
    <w:rsid w:val="00FC3416"/>
    <w:rsid w:val="00FC3541"/>
    <w:rsid w:val="00FC50B7"/>
    <w:rsid w:val="00FC5CA3"/>
    <w:rsid w:val="00FD0EF5"/>
    <w:rsid w:val="00FD103B"/>
    <w:rsid w:val="00FD535F"/>
    <w:rsid w:val="00FD65DC"/>
    <w:rsid w:val="00FD6B8D"/>
    <w:rsid w:val="00FE1280"/>
    <w:rsid w:val="00FE5231"/>
    <w:rsid w:val="00FE661F"/>
    <w:rsid w:val="00FF2740"/>
    <w:rsid w:val="00FF27D9"/>
    <w:rsid w:val="00FF39E0"/>
    <w:rsid w:val="00FF48E0"/>
    <w:rsid w:val="00FF78C0"/>
    <w:rsid w:val="02BAD0AA"/>
    <w:rsid w:val="030167CA"/>
    <w:rsid w:val="03F798AC"/>
    <w:rsid w:val="04B6C95F"/>
    <w:rsid w:val="05024004"/>
    <w:rsid w:val="0507BE74"/>
    <w:rsid w:val="057F25E5"/>
    <w:rsid w:val="0622D56A"/>
    <w:rsid w:val="06B806E8"/>
    <w:rsid w:val="06F50B10"/>
    <w:rsid w:val="0839C4F8"/>
    <w:rsid w:val="08C63384"/>
    <w:rsid w:val="09F42D2D"/>
    <w:rsid w:val="0A08CAF9"/>
    <w:rsid w:val="0A2C4CDC"/>
    <w:rsid w:val="0A36A3BD"/>
    <w:rsid w:val="0B33CA17"/>
    <w:rsid w:val="0B9FEC0E"/>
    <w:rsid w:val="0BAA207B"/>
    <w:rsid w:val="0C082C49"/>
    <w:rsid w:val="0C166563"/>
    <w:rsid w:val="0C81ADFE"/>
    <w:rsid w:val="0D1149B6"/>
    <w:rsid w:val="0DE0D104"/>
    <w:rsid w:val="0E70C8EB"/>
    <w:rsid w:val="0ED78CD0"/>
    <w:rsid w:val="0F2E9794"/>
    <w:rsid w:val="0F7294C4"/>
    <w:rsid w:val="0FB94EC0"/>
    <w:rsid w:val="117504D5"/>
    <w:rsid w:val="119156A3"/>
    <w:rsid w:val="11A2F6AB"/>
    <w:rsid w:val="11BCC927"/>
    <w:rsid w:val="129D07FC"/>
    <w:rsid w:val="138B9E15"/>
    <w:rsid w:val="13C117C8"/>
    <w:rsid w:val="13DFC350"/>
    <w:rsid w:val="14F62511"/>
    <w:rsid w:val="152E9C4C"/>
    <w:rsid w:val="156F83DC"/>
    <w:rsid w:val="15F0DD62"/>
    <w:rsid w:val="16299391"/>
    <w:rsid w:val="17A793C7"/>
    <w:rsid w:val="19961C35"/>
    <w:rsid w:val="19A37C0A"/>
    <w:rsid w:val="1A6987E3"/>
    <w:rsid w:val="1A95FA79"/>
    <w:rsid w:val="1AD216B1"/>
    <w:rsid w:val="1B344D16"/>
    <w:rsid w:val="1BFF95D2"/>
    <w:rsid w:val="1C52F5EC"/>
    <w:rsid w:val="1CB35909"/>
    <w:rsid w:val="1CBE6514"/>
    <w:rsid w:val="1D99D922"/>
    <w:rsid w:val="1E1EC162"/>
    <w:rsid w:val="1E60326B"/>
    <w:rsid w:val="1E6282F0"/>
    <w:rsid w:val="1F9849CE"/>
    <w:rsid w:val="1FA8EB95"/>
    <w:rsid w:val="20143C22"/>
    <w:rsid w:val="20679DAD"/>
    <w:rsid w:val="208D547C"/>
    <w:rsid w:val="20998B81"/>
    <w:rsid w:val="20A91309"/>
    <w:rsid w:val="20CF7FDB"/>
    <w:rsid w:val="20D8FB42"/>
    <w:rsid w:val="213A4B59"/>
    <w:rsid w:val="222F859C"/>
    <w:rsid w:val="22FFEBF2"/>
    <w:rsid w:val="234482EA"/>
    <w:rsid w:val="235EB00B"/>
    <w:rsid w:val="23AFDDD2"/>
    <w:rsid w:val="23D4C29F"/>
    <w:rsid w:val="23DCC3D2"/>
    <w:rsid w:val="2553F5DB"/>
    <w:rsid w:val="25954C2F"/>
    <w:rsid w:val="25CE4E67"/>
    <w:rsid w:val="2697AA5A"/>
    <w:rsid w:val="27D6A0DC"/>
    <w:rsid w:val="283EE407"/>
    <w:rsid w:val="28A9DCAB"/>
    <w:rsid w:val="28C88833"/>
    <w:rsid w:val="2974EB71"/>
    <w:rsid w:val="29A71B90"/>
    <w:rsid w:val="2A01E912"/>
    <w:rsid w:val="2A3E6898"/>
    <w:rsid w:val="2A9129D1"/>
    <w:rsid w:val="2AA718F2"/>
    <w:rsid w:val="2B155E9A"/>
    <w:rsid w:val="2B2AC872"/>
    <w:rsid w:val="2B32E00A"/>
    <w:rsid w:val="2C75C082"/>
    <w:rsid w:val="2CABF4BB"/>
    <w:rsid w:val="2D73F181"/>
    <w:rsid w:val="2D7C3EA2"/>
    <w:rsid w:val="2E40D4B0"/>
    <w:rsid w:val="2F88B83B"/>
    <w:rsid w:val="302F7CD8"/>
    <w:rsid w:val="303C0583"/>
    <w:rsid w:val="31BFCE65"/>
    <w:rsid w:val="3214DF4D"/>
    <w:rsid w:val="33556107"/>
    <w:rsid w:val="33ACE253"/>
    <w:rsid w:val="34E36CAA"/>
    <w:rsid w:val="35DD912A"/>
    <w:rsid w:val="3638F794"/>
    <w:rsid w:val="369C4C3D"/>
    <w:rsid w:val="370EAF88"/>
    <w:rsid w:val="371F01E0"/>
    <w:rsid w:val="38F35DF7"/>
    <w:rsid w:val="399E6F9C"/>
    <w:rsid w:val="39B9306E"/>
    <w:rsid w:val="39D1B525"/>
    <w:rsid w:val="39F44CD8"/>
    <w:rsid w:val="3A85C29A"/>
    <w:rsid w:val="3B0F4289"/>
    <w:rsid w:val="3C727B1D"/>
    <w:rsid w:val="3D9EFD1B"/>
    <w:rsid w:val="3E2015C0"/>
    <w:rsid w:val="3EABAC65"/>
    <w:rsid w:val="402D1604"/>
    <w:rsid w:val="41309881"/>
    <w:rsid w:val="42351C78"/>
    <w:rsid w:val="42DC28AF"/>
    <w:rsid w:val="4338693A"/>
    <w:rsid w:val="4464C2C7"/>
    <w:rsid w:val="448C6160"/>
    <w:rsid w:val="44B0C7A8"/>
    <w:rsid w:val="44DB8110"/>
    <w:rsid w:val="459FE448"/>
    <w:rsid w:val="473A02B8"/>
    <w:rsid w:val="47819BE4"/>
    <w:rsid w:val="48DB947A"/>
    <w:rsid w:val="496F9497"/>
    <w:rsid w:val="49B8409B"/>
    <w:rsid w:val="49E2CF59"/>
    <w:rsid w:val="4AC02D12"/>
    <w:rsid w:val="4B0CE237"/>
    <w:rsid w:val="4C26EC59"/>
    <w:rsid w:val="4C330307"/>
    <w:rsid w:val="4C9D2621"/>
    <w:rsid w:val="4CC3189A"/>
    <w:rsid w:val="4CCEBE1C"/>
    <w:rsid w:val="4D4BD04D"/>
    <w:rsid w:val="4D634717"/>
    <w:rsid w:val="4E5397D9"/>
    <w:rsid w:val="4FB913D3"/>
    <w:rsid w:val="4FD2FE66"/>
    <w:rsid w:val="50256204"/>
    <w:rsid w:val="5144D580"/>
    <w:rsid w:val="51C0AA5E"/>
    <w:rsid w:val="51CCC6A7"/>
    <w:rsid w:val="51FBE054"/>
    <w:rsid w:val="534AED20"/>
    <w:rsid w:val="53F1A27A"/>
    <w:rsid w:val="541830D3"/>
    <w:rsid w:val="551E6515"/>
    <w:rsid w:val="55209B23"/>
    <w:rsid w:val="555B69C3"/>
    <w:rsid w:val="56031154"/>
    <w:rsid w:val="565FA1C0"/>
    <w:rsid w:val="57071210"/>
    <w:rsid w:val="574357D1"/>
    <w:rsid w:val="57978FC7"/>
    <w:rsid w:val="58CA09A6"/>
    <w:rsid w:val="5926B6DA"/>
    <w:rsid w:val="5A34CF33"/>
    <w:rsid w:val="5A41BC85"/>
    <w:rsid w:val="5B36560A"/>
    <w:rsid w:val="5B650417"/>
    <w:rsid w:val="5C2AFF3F"/>
    <w:rsid w:val="5C6FF62E"/>
    <w:rsid w:val="5CE3E402"/>
    <w:rsid w:val="5E6821BE"/>
    <w:rsid w:val="5E6A603E"/>
    <w:rsid w:val="5F1FDD55"/>
    <w:rsid w:val="5FE6553D"/>
    <w:rsid w:val="60AA69AB"/>
    <w:rsid w:val="6120A99D"/>
    <w:rsid w:val="623F49A0"/>
    <w:rsid w:val="62BEF5AC"/>
    <w:rsid w:val="63BFEC42"/>
    <w:rsid w:val="650A472B"/>
    <w:rsid w:val="6572182C"/>
    <w:rsid w:val="6584ED85"/>
    <w:rsid w:val="65919FEB"/>
    <w:rsid w:val="666DA62E"/>
    <w:rsid w:val="66F3331A"/>
    <w:rsid w:val="6814F017"/>
    <w:rsid w:val="683DD9EA"/>
    <w:rsid w:val="686E760C"/>
    <w:rsid w:val="69C77051"/>
    <w:rsid w:val="69F373CF"/>
    <w:rsid w:val="6B00AF6D"/>
    <w:rsid w:val="6B2B3BFB"/>
    <w:rsid w:val="6BA7F8E6"/>
    <w:rsid w:val="6E3F409B"/>
    <w:rsid w:val="6EC6074B"/>
    <w:rsid w:val="706207E7"/>
    <w:rsid w:val="714271B3"/>
    <w:rsid w:val="71429E2D"/>
    <w:rsid w:val="71D6F846"/>
    <w:rsid w:val="721F8027"/>
    <w:rsid w:val="722F289D"/>
    <w:rsid w:val="74488838"/>
    <w:rsid w:val="74EF8B81"/>
    <w:rsid w:val="74FC57AC"/>
    <w:rsid w:val="75FD3C35"/>
    <w:rsid w:val="76ACBDCB"/>
    <w:rsid w:val="77E26CD4"/>
    <w:rsid w:val="7859CE3A"/>
    <w:rsid w:val="79614301"/>
    <w:rsid w:val="7998CC4C"/>
    <w:rsid w:val="7A4DF423"/>
    <w:rsid w:val="7A59CF24"/>
    <w:rsid w:val="7B0E1C63"/>
    <w:rsid w:val="7B2AE3C6"/>
    <w:rsid w:val="7BE5CB5F"/>
    <w:rsid w:val="7C1C1D30"/>
    <w:rsid w:val="7CBF1BA0"/>
    <w:rsid w:val="7CDC2004"/>
    <w:rsid w:val="7E4BF384"/>
    <w:rsid w:val="7F11836F"/>
    <w:rsid w:val="7F1B925E"/>
    <w:rsid w:val="7F3E425B"/>
    <w:rsid w:val="7F7D1546"/>
    <w:rsid w:val="7FC2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AC24BC"/>
  <w15:chartTrackingRefBased/>
  <w15:docId w15:val="{9CFB928E-8329-4F4F-B1C3-85AFDA13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82A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E23F6"/>
    <w:pPr>
      <w:spacing w:before="100" w:beforeAutospacing="1" w:after="100" w:afterAutospacing="1"/>
    </w:pPr>
  </w:style>
  <w:style w:type="character" w:styleId="Lienhypertexte">
    <w:name w:val="Hyperlink"/>
    <w:rsid w:val="002E23F6"/>
    <w:rPr>
      <w:color w:val="0000FF"/>
      <w:u w:val="single"/>
    </w:rPr>
  </w:style>
  <w:style w:type="character" w:styleId="Lienhypertextesuivivisit">
    <w:name w:val="FollowedHyperlink"/>
    <w:rsid w:val="00605D5A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2B0A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B0A84"/>
    <w:rPr>
      <w:rFonts w:ascii="Tahoma" w:hAnsi="Tahoma" w:cs="Tahoma"/>
      <w:sz w:val="16"/>
      <w:szCs w:val="16"/>
      <w:lang w:val="fr-BE" w:eastAsia="en-US"/>
    </w:rPr>
  </w:style>
  <w:style w:type="character" w:styleId="Mentionnonrsolue">
    <w:name w:val="Unresolved Mention"/>
    <w:uiPriority w:val="99"/>
    <w:semiHidden/>
    <w:unhideWhenUsed/>
    <w:rsid w:val="00C56339"/>
    <w:rPr>
      <w:color w:val="605E5C"/>
      <w:shd w:val="clear" w:color="auto" w:fill="E1DFDD"/>
    </w:rPr>
  </w:style>
  <w:style w:type="character" w:styleId="Marquedecommentaire">
    <w:name w:val="annotation reference"/>
    <w:rsid w:val="0092036C"/>
    <w:rPr>
      <w:sz w:val="16"/>
      <w:szCs w:val="16"/>
    </w:rPr>
  </w:style>
  <w:style w:type="paragraph" w:styleId="Commentaire">
    <w:name w:val="annotation text"/>
    <w:basedOn w:val="Normal"/>
    <w:link w:val="CommentaireCar"/>
    <w:rsid w:val="0092036C"/>
    <w:rPr>
      <w:sz w:val="20"/>
      <w:szCs w:val="20"/>
    </w:rPr>
  </w:style>
  <w:style w:type="character" w:customStyle="1" w:styleId="CommentaireCar">
    <w:name w:val="Commentaire Car"/>
    <w:link w:val="Commentaire"/>
    <w:rsid w:val="0092036C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92036C"/>
    <w:rPr>
      <w:b/>
      <w:bCs/>
    </w:rPr>
  </w:style>
  <w:style w:type="character" w:customStyle="1" w:styleId="ObjetducommentaireCar">
    <w:name w:val="Objet du commentaire Car"/>
    <w:link w:val="Objetducommentaire"/>
    <w:rsid w:val="0092036C"/>
    <w:rPr>
      <w:b/>
      <w:bCs/>
      <w:lang w:val="fr-BE" w:eastAsia="en-US"/>
    </w:rPr>
  </w:style>
  <w:style w:type="paragraph" w:customStyle="1" w:styleId="paragraph">
    <w:name w:val="paragraph"/>
    <w:basedOn w:val="Normal"/>
    <w:rsid w:val="00F75478"/>
    <w:pPr>
      <w:spacing w:before="100" w:beforeAutospacing="1" w:after="100" w:afterAutospacing="1"/>
    </w:pPr>
    <w:rPr>
      <w:lang w:eastAsia="nl-BE"/>
    </w:rPr>
  </w:style>
  <w:style w:type="character" w:customStyle="1" w:styleId="normaltextrun">
    <w:name w:val="normaltextrun"/>
    <w:basedOn w:val="Policepardfaut"/>
    <w:rsid w:val="00F75478"/>
  </w:style>
  <w:style w:type="character" w:customStyle="1" w:styleId="eop">
    <w:name w:val="eop"/>
    <w:basedOn w:val="Policepardfaut"/>
    <w:rsid w:val="00F75478"/>
  </w:style>
  <w:style w:type="character" w:customStyle="1" w:styleId="Titre1Car">
    <w:name w:val="Titre 1 Car"/>
    <w:basedOn w:val="Policepardfaut"/>
    <w:link w:val="Titre1"/>
    <w:uiPriority w:val="9"/>
    <w:rsid w:val="00882A4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Paragraphedeliste">
    <w:name w:val="List Paragraph"/>
    <w:basedOn w:val="Normal"/>
    <w:uiPriority w:val="34"/>
    <w:qFormat/>
    <w:rsid w:val="00882A44"/>
    <w:pPr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xmsonormal">
    <w:name w:val="x_msonormal"/>
    <w:basedOn w:val="Normal"/>
    <w:rsid w:val="00F74643"/>
    <w:rPr>
      <w:rFonts w:ascii="Calibri" w:eastAsiaTheme="minorHAnsi" w:hAnsi="Calibri" w:cs="Calibri"/>
      <w:sz w:val="22"/>
      <w:szCs w:val="22"/>
      <w:lang w:eastAsia="nl-BE"/>
    </w:rPr>
  </w:style>
  <w:style w:type="paragraph" w:styleId="Rvision">
    <w:name w:val="Revision"/>
    <w:hidden/>
    <w:uiPriority w:val="99"/>
    <w:semiHidden/>
    <w:rsid w:val="00720BC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4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79ee2f-9c20-4b49-86fb-52ed28bd0ce2" xsi:nil="true"/>
    <h1cf256422ab4151b629106fc1d3d3e2 xmlns="96bca67f-7503-43fe-8ec4-f3df3919b845">
      <Terms xmlns="http://schemas.microsoft.com/office/infopath/2007/PartnerControls"/>
    </h1cf256422ab4151b629106fc1d3d3e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DC34B4D9D5A7469B7C93CE72432152" ma:contentTypeVersion="16" ma:contentTypeDescription="Crée un document." ma:contentTypeScope="" ma:versionID="a2c2396f81285f48e33876c3c9ad6a32">
  <xsd:schema xmlns:xsd="http://www.w3.org/2001/XMLSchema" xmlns:xs="http://www.w3.org/2001/XMLSchema" xmlns:p="http://schemas.microsoft.com/office/2006/metadata/properties" xmlns:ns2="c579ee2f-9c20-4b49-86fb-52ed28bd0ce2" xmlns:ns3="96bca67f-7503-43fe-8ec4-f3df3919b845" targetNamespace="http://schemas.microsoft.com/office/2006/metadata/properties" ma:root="true" ma:fieldsID="1b1b08e8e4b34af7b51651517552c767" ns2:_="" ns3:_="">
    <xsd:import namespace="c579ee2f-9c20-4b49-86fb-52ed28bd0ce2"/>
    <xsd:import namespace="96bca67f-7503-43fe-8ec4-f3df3919b8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h1cf256422ab4151b629106fc1d3d3e2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9ee2f-9c20-4b49-86fb-52ed28bd0c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46fea3c-4751-473c-bea7-0aab75406973}" ma:internalName="TaxCatchAll" ma:showField="CatchAllData" ma:web="c579ee2f-9c20-4b49-86fb-52ed28bd0c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ca67f-7503-43fe-8ec4-f3df3919b8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h1cf256422ab4151b629106fc1d3d3e2" ma:index="17" nillable="true" ma:taxonomy="true" ma:internalName="h1cf256422ab4151b629106fc1d3d3e2" ma:taxonomyFieldName="Metadata" ma:displayName="Taal" ma:default="" ma:fieldId="{11cf2564-22ab-4151-b629-106fc1d3d3e2}" ma:taxonomyMulti="true" ma:sspId="e77c9c8b-c2e7-45c7-8060-6d0e90a76a81" ma:termSetId="5020a669-b9d0-4021-aedf-bb87985a973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1B768-DE49-4FFC-886A-754BE26152B8}">
  <ds:schemaRefs>
    <ds:schemaRef ds:uri="http://schemas.microsoft.com/office/2006/metadata/properties"/>
    <ds:schemaRef ds:uri="http://schemas.microsoft.com/office/infopath/2007/PartnerControls"/>
    <ds:schemaRef ds:uri="c579ee2f-9c20-4b49-86fb-52ed28bd0ce2"/>
    <ds:schemaRef ds:uri="96bca67f-7503-43fe-8ec4-f3df3919b845"/>
  </ds:schemaRefs>
</ds:datastoreItem>
</file>

<file path=customXml/itemProps2.xml><?xml version="1.0" encoding="utf-8"?>
<ds:datastoreItem xmlns:ds="http://schemas.openxmlformats.org/officeDocument/2006/customXml" ds:itemID="{49FD4BDB-2E6E-4CA6-8A23-3DA14CD807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D71A22-7F93-44F1-9C72-1C5E1DEE98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79ee2f-9c20-4b49-86fb-52ed28bd0ce2"/>
    <ds:schemaRef ds:uri="96bca67f-7503-43fe-8ec4-f3df3919b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0ED070-E87F-4819-97C9-D8489F2E3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741</Words>
  <Characters>4078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ACCG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dries vanheuverswyn</dc:creator>
  <cp:keywords/>
  <cp:lastModifiedBy>Dénis Selimovski</cp:lastModifiedBy>
  <cp:revision>2</cp:revision>
  <cp:lastPrinted>2019-11-16T04:37:00Z</cp:lastPrinted>
  <dcterms:created xsi:type="dcterms:W3CDTF">2022-01-21T12:38:00Z</dcterms:created>
  <dcterms:modified xsi:type="dcterms:W3CDTF">2022-01-21T12:38:00Z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0x01010047DC34B4D9D5A7469B7C93CE72432152</vt:lpwstr>
  </property>
  <property fmtid="{D5CDD505-2E9C-101B-9397-08002B2CF9AE}" pid="3" name="Metadata">
    <vt:lpwstr/>
  </property>
  <property fmtid="{D5CDD505-2E9C-101B-9397-08002B2CF9AE}" pid="4" name="_dlc_DocIdItemGuid">
    <vt:lpwstr>8ebe5bb9-3c08-44ad-b3ac-b3ce08c827e5</vt:lpwstr>
  </property>
</Properties>
</file>